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E90436" w:rsidRDefault="00E90436" w:rsidP="00C619F8">
      <w:pPr>
        <w:pStyle w:val="JuH1"/>
      </w:pPr>
      <w:bookmarkStart w:id="0" w:name="_GoBack"/>
      <w:bookmarkEnd w:id="0"/>
    </w:p>
    <w:p w:rsidR="00E90436" w:rsidRDefault="00E90436" w:rsidP="00E90436">
      <w:pPr>
        <w:jc w:val="center"/>
      </w:pPr>
    </w:p>
    <w:p w:rsidR="00E90436" w:rsidRPr="003F51E7" w:rsidRDefault="00E90436" w:rsidP="00E90436">
      <w:pPr>
        <w:jc w:val="center"/>
      </w:pPr>
    </w:p>
    <w:p w:rsidR="00E90436" w:rsidRPr="003F51E7" w:rsidRDefault="00E90436" w:rsidP="00E90436">
      <w:pPr>
        <w:jc w:val="center"/>
      </w:pPr>
      <w:r>
        <w:t>COUR (CHAMBRE)</w:t>
      </w:r>
    </w:p>
    <w:p w:rsidR="00E90436" w:rsidRDefault="00E90436" w:rsidP="00E90436">
      <w:pPr>
        <w:jc w:val="center"/>
      </w:pPr>
    </w:p>
    <w:p w:rsidR="00E90436" w:rsidRDefault="00E90436" w:rsidP="00E90436">
      <w:pPr>
        <w:jc w:val="center"/>
      </w:pPr>
    </w:p>
    <w:p w:rsidR="00E90436" w:rsidRDefault="00E90436" w:rsidP="00E90436">
      <w:pPr>
        <w:jc w:val="center"/>
      </w:pPr>
    </w:p>
    <w:p w:rsidR="00E90436" w:rsidRDefault="00E90436" w:rsidP="00E90436">
      <w:pPr>
        <w:jc w:val="center"/>
      </w:pPr>
    </w:p>
    <w:p w:rsidR="00E90436" w:rsidRDefault="00E90436" w:rsidP="00E90436">
      <w:pPr>
        <w:jc w:val="center"/>
      </w:pPr>
    </w:p>
    <w:p w:rsidR="00E90436" w:rsidRPr="003F51E7" w:rsidRDefault="00E90436" w:rsidP="00E90436">
      <w:pPr>
        <w:jc w:val="center"/>
      </w:pPr>
    </w:p>
    <w:p w:rsidR="009E13E2" w:rsidRPr="00300C10" w:rsidRDefault="00E90436" w:rsidP="00300C10">
      <w:pPr>
        <w:jc w:val="center"/>
        <w:rPr>
          <w:b/>
          <w:szCs w:val="24"/>
        </w:rPr>
      </w:pPr>
      <w:r w:rsidRPr="00300C10">
        <w:rPr>
          <w:b/>
        </w:rPr>
        <w:t xml:space="preserve">AFFAIRE </w:t>
      </w:r>
      <w:r w:rsidR="00300C10" w:rsidRPr="00300C10">
        <w:rPr>
          <w:b/>
        </w:rPr>
        <w:t>KJELDSEN, BUSK MADSEN ET PEDERSEN c. DANEMARK</w:t>
      </w:r>
    </w:p>
    <w:p w:rsidR="008B4E44" w:rsidRDefault="008B4E44" w:rsidP="008B4E44">
      <w:pPr>
        <w:jc w:val="center"/>
      </w:pPr>
    </w:p>
    <w:p w:rsidR="008B4E44" w:rsidRPr="00300C10" w:rsidRDefault="008B4E44" w:rsidP="008B4E44">
      <w:pPr>
        <w:jc w:val="center"/>
        <w:rPr>
          <w:i/>
        </w:rPr>
      </w:pPr>
      <w:r w:rsidRPr="00300C10">
        <w:rPr>
          <w:i/>
        </w:rPr>
        <w:t>(Requête n</w:t>
      </w:r>
      <w:r w:rsidR="003848D0" w:rsidRPr="003848D0">
        <w:rPr>
          <w:i/>
          <w:vertAlign w:val="superscript"/>
        </w:rPr>
        <w:t>o</w:t>
      </w:r>
      <w:r w:rsidRPr="00300C10">
        <w:rPr>
          <w:i/>
        </w:rPr>
        <w:t xml:space="preserve"> </w:t>
      </w:r>
      <w:r w:rsidR="00300C10" w:rsidRPr="00300C10">
        <w:rPr>
          <w:i/>
          <w:lang w:val="en-GB"/>
        </w:rPr>
        <w:t>5095/71; 5920/72; 5926/72</w:t>
      </w:r>
      <w:r w:rsidRPr="00300C10">
        <w:rPr>
          <w:i/>
        </w:rPr>
        <w:t>)</w:t>
      </w: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  <w:r>
        <w:t>ARRÊT</w:t>
      </w: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</w:p>
    <w:p w:rsidR="008B4E44" w:rsidRDefault="008B4E44" w:rsidP="008B4E44">
      <w:pPr>
        <w:jc w:val="center"/>
      </w:pPr>
      <w:r>
        <w:t>STRASBOURG</w:t>
      </w:r>
    </w:p>
    <w:p w:rsidR="008B4E44" w:rsidRDefault="008B4E44" w:rsidP="008B4E44">
      <w:pPr>
        <w:jc w:val="center"/>
      </w:pPr>
    </w:p>
    <w:p w:rsidR="00E957AE" w:rsidRDefault="00F33A0E" w:rsidP="00E957AE">
      <w:pPr>
        <w:jc w:val="center"/>
        <w:sectPr w:rsidR="00E957AE" w:rsidSect="00E957AE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  <w:r>
        <w:t>7 décembre</w:t>
      </w:r>
      <w:r w:rsidR="00D649D6">
        <w:t xml:space="preserve"> 1976</w:t>
      </w:r>
    </w:p>
    <w:p w:rsidR="003206D8" w:rsidRDefault="00E957AE" w:rsidP="003206D8">
      <w:r>
        <w:br w:type="page"/>
      </w:r>
    </w:p>
    <w:p w:rsidR="003206D8" w:rsidRDefault="003206D8" w:rsidP="00C65A3C">
      <w:pPr>
        <w:pStyle w:val="JuCase"/>
      </w:pPr>
      <w:r>
        <w:t>En l</w:t>
      </w:r>
      <w:r w:rsidR="003848D0">
        <w:t>’</w:t>
      </w:r>
      <w:r>
        <w:t>affaire Kjeldsen, Busk Madsen et Pedersen,</w:t>
      </w:r>
    </w:p>
    <w:p w:rsidR="003206D8" w:rsidRDefault="003206D8" w:rsidP="00C65A3C">
      <w:pPr>
        <w:pStyle w:val="JuPara"/>
      </w:pPr>
      <w:r>
        <w:t>La Cour européenne des Droits de l</w:t>
      </w:r>
      <w:r w:rsidR="003848D0">
        <w:t>’</w:t>
      </w:r>
      <w:r>
        <w:t>Homme</w:t>
      </w:r>
      <w:r w:rsidR="00C65A3C">
        <w:t xml:space="preserve">, constituée, conformément </w:t>
      </w:r>
      <w:r>
        <w:t>à l</w:t>
      </w:r>
      <w:r w:rsidR="003848D0">
        <w:t>’</w:t>
      </w:r>
      <w:r>
        <w:t>article 43 (art. 43) de la Convention de sauvegarde des Droits de</w:t>
      </w:r>
      <w:r w:rsidR="00C65A3C">
        <w:t xml:space="preserve"> </w:t>
      </w:r>
      <w:r>
        <w:t>l</w:t>
      </w:r>
      <w:r w:rsidR="003848D0">
        <w:t>’</w:t>
      </w:r>
      <w:r>
        <w:t>Homme et des Libertés fondamentales ("la Convention") et aux articles 21</w:t>
      </w:r>
      <w:r w:rsidR="00C65A3C">
        <w:t xml:space="preserve"> </w:t>
      </w:r>
      <w:r>
        <w:t>et 22 du règlement, en une chambre composée des juges dont le nom suit:</w:t>
      </w:r>
    </w:p>
    <w:p w:rsidR="003206D8" w:rsidRDefault="002F29CE" w:rsidP="002F29CE">
      <w:pPr>
        <w:tabs>
          <w:tab w:val="left" w:pos="567"/>
          <w:tab w:val="left" w:pos="1134"/>
        </w:tabs>
      </w:pPr>
      <w:r>
        <w:tab/>
      </w:r>
      <w:r w:rsidR="003206D8" w:rsidRPr="002F29CE">
        <w:rPr>
          <w:rStyle w:val="JuJudgesChar"/>
        </w:rPr>
        <w:t xml:space="preserve">MM. </w:t>
      </w:r>
      <w:r w:rsidRPr="002F29CE">
        <w:rPr>
          <w:rStyle w:val="JuJudgesChar"/>
        </w:rPr>
        <w:tab/>
      </w:r>
      <w:r w:rsidR="003206D8" w:rsidRPr="002F29CE">
        <w:rPr>
          <w:rStyle w:val="JuJudgesChar"/>
        </w:rPr>
        <w:t>G.</w:t>
      </w:r>
      <w:r w:rsidR="003206D8">
        <w:t xml:space="preserve"> </w:t>
      </w:r>
      <w:r w:rsidR="003206D8" w:rsidRPr="00CD0DB4">
        <w:rPr>
          <w:rStyle w:val="JuNames"/>
        </w:rPr>
        <w:t>BALLADORE PALLIERI</w:t>
      </w:r>
      <w:r w:rsidR="003206D8">
        <w:t xml:space="preserve">, </w:t>
      </w:r>
      <w:r w:rsidR="003206D8" w:rsidRPr="002F29CE">
        <w:rPr>
          <w:i/>
        </w:rPr>
        <w:t>président</w:t>
      </w:r>
      <w:r w:rsidR="003206D8">
        <w:t>,</w:t>
      </w:r>
    </w:p>
    <w:p w:rsidR="003206D8" w:rsidRDefault="002F29CE" w:rsidP="002F29CE">
      <w:pPr>
        <w:tabs>
          <w:tab w:val="left" w:pos="1134"/>
        </w:tabs>
      </w:pPr>
      <w:r>
        <w:tab/>
      </w:r>
      <w:r w:rsidR="003206D8" w:rsidRPr="002F29CE">
        <w:rPr>
          <w:rStyle w:val="JuJudgesChar"/>
        </w:rPr>
        <w:t>A.</w:t>
      </w:r>
      <w:r w:rsidR="003206D8">
        <w:t xml:space="preserve"> </w:t>
      </w:r>
      <w:r w:rsidR="003206D8" w:rsidRPr="00CD0DB4">
        <w:rPr>
          <w:rStyle w:val="JuNames"/>
        </w:rPr>
        <w:t>VERDROSS</w:t>
      </w:r>
      <w:r w:rsidR="003206D8">
        <w:t>,</w:t>
      </w:r>
    </w:p>
    <w:p w:rsidR="003206D8" w:rsidRDefault="002F29CE" w:rsidP="002F29CE">
      <w:pPr>
        <w:tabs>
          <w:tab w:val="left" w:pos="1134"/>
        </w:tabs>
      </w:pPr>
      <w:r>
        <w:tab/>
      </w:r>
      <w:r w:rsidR="003206D8" w:rsidRPr="002F29CE">
        <w:rPr>
          <w:rStyle w:val="JuJudgesChar"/>
        </w:rPr>
        <w:t>M.</w:t>
      </w:r>
      <w:r w:rsidR="003206D8">
        <w:t xml:space="preserve"> </w:t>
      </w:r>
      <w:r w:rsidR="003206D8" w:rsidRPr="00CD0DB4">
        <w:rPr>
          <w:rStyle w:val="JuNames"/>
        </w:rPr>
        <w:t>ZEKIA</w:t>
      </w:r>
      <w:r w:rsidR="003206D8">
        <w:t>,</w:t>
      </w:r>
    </w:p>
    <w:p w:rsidR="003206D8" w:rsidRDefault="002F29CE" w:rsidP="002F29CE">
      <w:pPr>
        <w:tabs>
          <w:tab w:val="left" w:pos="567"/>
          <w:tab w:val="left" w:pos="1134"/>
        </w:tabs>
      </w:pPr>
      <w:r>
        <w:tab/>
      </w:r>
      <w:r w:rsidR="003206D8" w:rsidRPr="00CD0DB4">
        <w:rPr>
          <w:rStyle w:val="JuJudgesChar"/>
        </w:rPr>
        <w:t xml:space="preserve">Mme </w:t>
      </w:r>
      <w:r w:rsidRPr="00CD0DB4">
        <w:rPr>
          <w:rStyle w:val="JuJudgesChar"/>
        </w:rPr>
        <w:tab/>
      </w:r>
      <w:r w:rsidR="003206D8" w:rsidRPr="00CD0DB4">
        <w:rPr>
          <w:rStyle w:val="JuJudgesChar"/>
        </w:rPr>
        <w:t>H.</w:t>
      </w:r>
      <w:r w:rsidR="003206D8">
        <w:t xml:space="preserve"> </w:t>
      </w:r>
      <w:r w:rsidR="003206D8" w:rsidRPr="00CD0DB4">
        <w:rPr>
          <w:rStyle w:val="JuNames"/>
        </w:rPr>
        <w:t>PEDERSEN</w:t>
      </w:r>
      <w:r w:rsidR="003206D8">
        <w:t>,</w:t>
      </w:r>
    </w:p>
    <w:p w:rsidR="003206D8" w:rsidRDefault="002F29CE" w:rsidP="002F29CE">
      <w:pPr>
        <w:tabs>
          <w:tab w:val="left" w:pos="567"/>
          <w:tab w:val="left" w:pos="1134"/>
        </w:tabs>
      </w:pPr>
      <w:r>
        <w:tab/>
      </w:r>
      <w:r w:rsidR="003206D8" w:rsidRPr="00CD0DB4">
        <w:rPr>
          <w:rStyle w:val="JuJudgesChar"/>
        </w:rPr>
        <w:t xml:space="preserve">MM. </w:t>
      </w:r>
      <w:r w:rsidRPr="00CD0DB4">
        <w:rPr>
          <w:rStyle w:val="JuJudgesChar"/>
        </w:rPr>
        <w:tab/>
      </w:r>
      <w:r w:rsidR="003206D8" w:rsidRPr="00CD0DB4">
        <w:rPr>
          <w:rStyle w:val="JuJudgesChar"/>
        </w:rPr>
        <w:t xml:space="preserve">S. </w:t>
      </w:r>
      <w:r w:rsidR="003206D8" w:rsidRPr="00CD0DB4">
        <w:rPr>
          <w:rStyle w:val="JuNames"/>
        </w:rPr>
        <w:t>PETREN</w:t>
      </w:r>
      <w:r w:rsidR="003206D8">
        <w:t>,</w:t>
      </w:r>
    </w:p>
    <w:p w:rsidR="003206D8" w:rsidRDefault="002F29CE" w:rsidP="002F29CE">
      <w:pPr>
        <w:tabs>
          <w:tab w:val="left" w:pos="1134"/>
        </w:tabs>
      </w:pPr>
      <w:r>
        <w:tab/>
      </w:r>
      <w:r w:rsidR="003206D8" w:rsidRPr="00CD0DB4">
        <w:rPr>
          <w:rStyle w:val="JuJudgesChar"/>
        </w:rPr>
        <w:t>R.</w:t>
      </w:r>
      <w:r w:rsidR="003206D8">
        <w:t xml:space="preserve"> </w:t>
      </w:r>
      <w:r w:rsidR="003206D8" w:rsidRPr="00CD0DB4">
        <w:rPr>
          <w:rStyle w:val="JuNames"/>
        </w:rPr>
        <w:t>RYSSDAL</w:t>
      </w:r>
      <w:r w:rsidR="003206D8">
        <w:t>,</w:t>
      </w:r>
    </w:p>
    <w:p w:rsidR="003206D8" w:rsidRDefault="002F29CE" w:rsidP="002F29CE">
      <w:pPr>
        <w:tabs>
          <w:tab w:val="left" w:pos="1134"/>
        </w:tabs>
      </w:pPr>
      <w:r>
        <w:tab/>
      </w:r>
      <w:r w:rsidR="003206D8" w:rsidRPr="00CD0DB4">
        <w:rPr>
          <w:rStyle w:val="JuJudgesChar"/>
        </w:rPr>
        <w:t>D.</w:t>
      </w:r>
      <w:r w:rsidR="003206D8">
        <w:t xml:space="preserve"> </w:t>
      </w:r>
      <w:r w:rsidR="003206D8" w:rsidRPr="00CD0DB4">
        <w:rPr>
          <w:rStyle w:val="JuNames"/>
        </w:rPr>
        <w:t>EVRIGENIS</w:t>
      </w:r>
      <w:r w:rsidR="003206D8">
        <w:t>,</w:t>
      </w:r>
    </w:p>
    <w:p w:rsidR="003206D8" w:rsidRDefault="003206D8" w:rsidP="00C65A3C">
      <w:pPr>
        <w:pStyle w:val="JuPara"/>
      </w:pPr>
      <w:r>
        <w:t xml:space="preserve">ainsi que de </w:t>
      </w:r>
      <w:r w:rsidRPr="00CD0DB4">
        <w:rPr>
          <w:rStyle w:val="JuJudgesChar"/>
        </w:rPr>
        <w:t>MM. M.-A.</w:t>
      </w:r>
      <w:r>
        <w:t xml:space="preserve"> </w:t>
      </w:r>
      <w:r w:rsidRPr="00CD0DB4">
        <w:rPr>
          <w:rStyle w:val="JuNames"/>
        </w:rPr>
        <w:t>EISSEN</w:t>
      </w:r>
      <w:r>
        <w:t xml:space="preserve">, </w:t>
      </w:r>
      <w:r w:rsidRPr="00CD0DB4">
        <w:rPr>
          <w:rStyle w:val="JuJudgesChar"/>
          <w:i/>
        </w:rPr>
        <w:t>gr</w:t>
      </w:r>
      <w:r w:rsidR="00C65A3C" w:rsidRPr="00CD0DB4">
        <w:rPr>
          <w:rStyle w:val="JuJudgesChar"/>
          <w:i/>
        </w:rPr>
        <w:t>effier</w:t>
      </w:r>
      <w:r w:rsidR="00C65A3C">
        <w:t xml:space="preserve">, et </w:t>
      </w:r>
      <w:r w:rsidR="00C65A3C" w:rsidRPr="00CD0DB4">
        <w:rPr>
          <w:rStyle w:val="JuJudgesChar"/>
        </w:rPr>
        <w:t>H.</w:t>
      </w:r>
      <w:r w:rsidR="00C65A3C">
        <w:t xml:space="preserve"> </w:t>
      </w:r>
      <w:r w:rsidR="00C65A3C" w:rsidRPr="00CD0DB4">
        <w:rPr>
          <w:rStyle w:val="JuNames"/>
        </w:rPr>
        <w:t>PETZOLD</w:t>
      </w:r>
      <w:r w:rsidR="00C65A3C">
        <w:t xml:space="preserve">, </w:t>
      </w:r>
      <w:r w:rsidR="00C65A3C" w:rsidRPr="00CD0DB4">
        <w:rPr>
          <w:rStyle w:val="JuJudgesChar"/>
          <w:i/>
          <w:iCs/>
        </w:rPr>
        <w:t xml:space="preserve">greffier </w:t>
      </w:r>
      <w:r w:rsidRPr="00CD0DB4">
        <w:rPr>
          <w:rStyle w:val="JuJudgesChar"/>
          <w:i/>
          <w:iCs/>
        </w:rPr>
        <w:t>adjoint</w:t>
      </w:r>
      <w:r>
        <w:t>,</w:t>
      </w:r>
    </w:p>
    <w:p w:rsidR="003206D8" w:rsidRDefault="003206D8" w:rsidP="00C65A3C">
      <w:pPr>
        <w:pStyle w:val="JuPara"/>
      </w:pPr>
      <w:r>
        <w:t>Après avoir délibéré en chambre du conseil les 3 et 4 juin, puis</w:t>
      </w:r>
      <w:r w:rsidR="00C65A3C">
        <w:t xml:space="preserve"> </w:t>
      </w:r>
      <w:r>
        <w:t>le 5 novembre 1976,</w:t>
      </w:r>
    </w:p>
    <w:p w:rsidR="003206D8" w:rsidRDefault="003206D8" w:rsidP="00C65A3C">
      <w:pPr>
        <w:pStyle w:val="JuPara"/>
      </w:pPr>
      <w:r>
        <w:t>Rend l</w:t>
      </w:r>
      <w:r w:rsidR="003848D0">
        <w:t>’</w:t>
      </w:r>
      <w:r>
        <w:t>arrêt que voici, adopté à cette dernière date:</w:t>
      </w:r>
    </w:p>
    <w:p w:rsidR="003206D8" w:rsidRDefault="003206D8" w:rsidP="00D253F8">
      <w:pPr>
        <w:pStyle w:val="JuHHead"/>
      </w:pPr>
      <w:r>
        <w:t>PROCEDURE</w:t>
      </w:r>
    </w:p>
    <w:p w:rsidR="003206D8" w:rsidRDefault="003206D8" w:rsidP="00D253F8">
      <w:pPr>
        <w:pStyle w:val="JuPara"/>
      </w:pPr>
      <w:r>
        <w:t>1.</w:t>
      </w:r>
      <w:r w:rsidR="003848D0">
        <w:t xml:space="preserve"> </w:t>
      </w:r>
      <w:r>
        <w:t>L</w:t>
      </w:r>
      <w:r w:rsidR="003848D0">
        <w:t>’</w:t>
      </w:r>
      <w:r>
        <w:t>affaire Kjeldsen, Busk Madsen</w:t>
      </w:r>
      <w:r w:rsidR="00D253F8">
        <w:t xml:space="preserve"> et Pedersen a été déférée à la </w:t>
      </w:r>
      <w:r>
        <w:t>Cour par la Commission européenne des Droits de l</w:t>
      </w:r>
      <w:r w:rsidR="003848D0">
        <w:t>’</w:t>
      </w:r>
      <w:r>
        <w:t>Homme ("la</w:t>
      </w:r>
      <w:r w:rsidR="00D253F8">
        <w:t xml:space="preserve"> </w:t>
      </w:r>
      <w:r>
        <w:t>Commission").</w:t>
      </w:r>
      <w:r w:rsidR="003848D0">
        <w:t xml:space="preserve"> </w:t>
      </w:r>
      <w:r>
        <w:t>A son origine se trouvent trois requêtes (n</w:t>
      </w:r>
      <w:r w:rsidR="003848D0" w:rsidRPr="003848D0">
        <w:rPr>
          <w:vertAlign w:val="superscript"/>
        </w:rPr>
        <w:t>o</w:t>
      </w:r>
      <w:r>
        <w:t xml:space="preserve"> 5095/71,</w:t>
      </w:r>
      <w:r w:rsidR="00D253F8">
        <w:t xml:space="preserve"> </w:t>
      </w:r>
      <w:r>
        <w:t>5920/72 et 5926/72) dirigées contre le Royaume de Danemark et que</w:t>
      </w:r>
      <w:r w:rsidR="00D253F8">
        <w:t xml:space="preserve"> </w:t>
      </w:r>
      <w:r>
        <w:t xml:space="preserve">Viking et </w:t>
      </w:r>
      <w:r w:rsidRPr="00D253F8">
        <w:rPr>
          <w:lang w:val="da-DK"/>
        </w:rPr>
        <w:t>Annemarie</w:t>
      </w:r>
      <w:r>
        <w:t xml:space="preserve"> Kjeldsen, </w:t>
      </w:r>
      <w:r w:rsidRPr="00D253F8">
        <w:rPr>
          <w:lang w:val="da-DK"/>
        </w:rPr>
        <w:t>Arne</w:t>
      </w:r>
      <w:r>
        <w:t xml:space="preserve"> et </w:t>
      </w:r>
      <w:r w:rsidRPr="00D253F8">
        <w:rPr>
          <w:lang w:val="da-DK"/>
        </w:rPr>
        <w:t>Inger</w:t>
      </w:r>
      <w:r>
        <w:t xml:space="preserve"> Busk Madsen ainsi que</w:t>
      </w:r>
      <w:r w:rsidR="00D253F8">
        <w:t xml:space="preserve"> </w:t>
      </w:r>
      <w:r>
        <w:t>Hans et Ellen Pedersen, pères et mères de famille de nationalité</w:t>
      </w:r>
      <w:r w:rsidR="00D253F8">
        <w:t xml:space="preserve"> </w:t>
      </w:r>
      <w:r>
        <w:t>danoise, avaient introduites en 1971 et 1972 auprès de la Commission</w:t>
      </w:r>
      <w:r w:rsidR="00D253F8">
        <w:t xml:space="preserve"> </w:t>
      </w:r>
      <w:r>
        <w:t>qui en a ordonné la jonction le 19 juillet 1973.</w:t>
      </w:r>
    </w:p>
    <w:p w:rsidR="003206D8" w:rsidRDefault="003206D8" w:rsidP="00661859">
      <w:pPr>
        <w:pStyle w:val="JuPara"/>
      </w:pPr>
      <w:r>
        <w:t>2.</w:t>
      </w:r>
      <w:r w:rsidR="003848D0">
        <w:t xml:space="preserve"> </w:t>
      </w:r>
      <w:r>
        <w:t>La demande de la Commission, qui s</w:t>
      </w:r>
      <w:r w:rsidR="003848D0">
        <w:t>’</w:t>
      </w:r>
      <w:r w:rsidR="00661859">
        <w:t xml:space="preserve">accompagnait du rapport prévu à </w:t>
      </w:r>
      <w:r>
        <w:t>l</w:t>
      </w:r>
      <w:r w:rsidR="003848D0">
        <w:t>’</w:t>
      </w:r>
      <w:r>
        <w:t>article 31 (art. 31) de la Convention, a été déposée au greffe de</w:t>
      </w:r>
      <w:r w:rsidR="00661859">
        <w:t xml:space="preserve"> </w:t>
      </w:r>
      <w:r>
        <w:t>la Cour le 24 juillet 1975, dans le délai de trois mois institué par</w:t>
      </w:r>
      <w:r w:rsidR="00661859">
        <w:t xml:space="preserve"> </w:t>
      </w:r>
      <w:r>
        <w:t>les articles 32 par. 1 et 47 (art. 32-1, art. 47).</w:t>
      </w:r>
      <w:r w:rsidR="003848D0">
        <w:t xml:space="preserve"> </w:t>
      </w:r>
      <w:r>
        <w:t>Elle renvoyait aux</w:t>
      </w:r>
      <w:r w:rsidR="00661859">
        <w:t xml:space="preserve"> </w:t>
      </w:r>
      <w:r>
        <w:t>articles 44 et 48 (art. 44, art. 48) et à la déclaration par laquelle</w:t>
      </w:r>
      <w:r w:rsidR="00661859">
        <w:t xml:space="preserve"> </w:t>
      </w:r>
      <w:r>
        <w:t>le Royaume de Danemark a reconnu, le 7 avril 1972, la juridiction</w:t>
      </w:r>
      <w:r w:rsidR="00661859">
        <w:t xml:space="preserve"> </w:t>
      </w:r>
      <w:r>
        <w:t>obligatoire de la Cour (article 46) (art. 46).</w:t>
      </w:r>
      <w:r w:rsidR="003848D0">
        <w:t xml:space="preserve"> </w:t>
      </w:r>
      <w:r>
        <w:t>Elle a pour objet</w:t>
      </w:r>
      <w:r w:rsidR="00661859">
        <w:t xml:space="preserve"> </w:t>
      </w:r>
      <w:r>
        <w:t>d</w:t>
      </w:r>
      <w:r w:rsidR="003848D0">
        <w:t>’</w:t>
      </w:r>
      <w:r>
        <w:t>obtenir une décision de la Cour sur le point de savoir si les faits</w:t>
      </w:r>
      <w:r w:rsidR="00661859">
        <w:t xml:space="preserve"> </w:t>
      </w:r>
      <w:r>
        <w:t>de la cause révèlent ou non, de la part de l</w:t>
      </w:r>
      <w:r w:rsidR="003848D0">
        <w:t>’</w:t>
      </w:r>
      <w:r w:rsidR="00661859">
        <w:t>État</w:t>
      </w:r>
      <w:r>
        <w:t xml:space="preserve"> défendeur, un</w:t>
      </w:r>
      <w:r w:rsidR="00661859">
        <w:t xml:space="preserve"> </w:t>
      </w:r>
      <w:r>
        <w:t>manquement aux obligations qui lui incombent aux termes de l</w:t>
      </w:r>
      <w:r w:rsidR="003848D0">
        <w:t>’</w:t>
      </w:r>
      <w:r>
        <w:t>article 2</w:t>
      </w:r>
      <w:r w:rsidR="00661859">
        <w:t xml:space="preserve"> </w:t>
      </w:r>
      <w:r>
        <w:t>du Protocole additionnel du 20 mars 1952 (P1-2) ("le Protocole n</w:t>
      </w:r>
      <w:r w:rsidR="003848D0" w:rsidRPr="003848D0">
        <w:rPr>
          <w:vertAlign w:val="superscript"/>
        </w:rPr>
        <w:t>o</w:t>
      </w:r>
      <w:r>
        <w:t xml:space="preserve"> 1");</w:t>
      </w:r>
      <w:r w:rsidR="00661859">
        <w:t xml:space="preserve"> </w:t>
      </w:r>
      <w:r>
        <w:t>elle mentionne aussi les articles 8, 9 et 14 (art. 8, art. 9, art. 14)</w:t>
      </w:r>
      <w:r w:rsidR="00661859">
        <w:t xml:space="preserve"> </w:t>
      </w:r>
      <w:r>
        <w:t>de la Convention.</w:t>
      </w:r>
    </w:p>
    <w:p w:rsidR="003206D8" w:rsidRDefault="003206D8" w:rsidP="00943762">
      <w:pPr>
        <w:pStyle w:val="JuPara"/>
      </w:pPr>
      <w:r>
        <w:t>3.</w:t>
      </w:r>
      <w:r w:rsidR="003848D0">
        <w:t xml:space="preserve"> </w:t>
      </w:r>
      <w:r>
        <w:t>Le 26 juillet 1975, le président de</w:t>
      </w:r>
      <w:r w:rsidR="00943762">
        <w:t xml:space="preserve"> la Cour a procédé, en présence </w:t>
      </w:r>
      <w:r>
        <w:t>du greffier, au tirage au sort des noms de cinq des sept juges appelés</w:t>
      </w:r>
      <w:r w:rsidR="00943762">
        <w:t xml:space="preserve"> </w:t>
      </w:r>
      <w:r>
        <w:t>à former la Chambre compétente, Mme H. Pedersen, juge élu de</w:t>
      </w:r>
      <w:r w:rsidR="00943762">
        <w:t xml:space="preserve"> </w:t>
      </w:r>
      <w:r>
        <w:t>nationalité danoise, et M. Balladore Pallieri, président de la Cour,</w:t>
      </w:r>
      <w:r w:rsidR="00943762">
        <w:t xml:space="preserve"> </w:t>
      </w:r>
      <w:r>
        <w:t>siégeant d</w:t>
      </w:r>
      <w:r w:rsidR="003848D0">
        <w:t>’</w:t>
      </w:r>
      <w:r>
        <w:t>office en vertu de l</w:t>
      </w:r>
      <w:r w:rsidR="003848D0">
        <w:t>’</w:t>
      </w:r>
      <w:r>
        <w:t>article 43 (art. 43) de la Convention</w:t>
      </w:r>
      <w:r w:rsidR="00943762">
        <w:t xml:space="preserve"> </w:t>
      </w:r>
      <w:r>
        <w:t>et de l</w:t>
      </w:r>
      <w:r w:rsidR="003848D0">
        <w:t>’</w:t>
      </w:r>
      <w:r>
        <w:t>article 21 par. 3 b) du règlement respectivement.</w:t>
      </w:r>
      <w:r w:rsidR="003848D0">
        <w:t xml:space="preserve"> </w:t>
      </w:r>
      <w:r>
        <w:t>L</w:t>
      </w:r>
      <w:r w:rsidR="003848D0">
        <w:t>’</w:t>
      </w:r>
      <w:r>
        <w:t>un des</w:t>
      </w:r>
      <w:r w:rsidR="00943762">
        <w:t xml:space="preserve"> </w:t>
      </w:r>
      <w:r>
        <w:t>membres de la Chambre, M. Cremona, s</w:t>
      </w:r>
      <w:r w:rsidR="003848D0">
        <w:t>’</w:t>
      </w:r>
      <w:r>
        <w:t>est trouvé par la suite empêché</w:t>
      </w:r>
      <w:r w:rsidR="00943762">
        <w:t xml:space="preserve"> </w:t>
      </w:r>
      <w:r>
        <w:t>de participer à l</w:t>
      </w:r>
      <w:r w:rsidR="003848D0">
        <w:t>’</w:t>
      </w:r>
      <w:r>
        <w:t>examen de l</w:t>
      </w:r>
      <w:r w:rsidR="003848D0">
        <w:t>’</w:t>
      </w:r>
      <w:r>
        <w:t>affaire; le premier juge suppléant,</w:t>
      </w:r>
      <w:r w:rsidR="00943762">
        <w:t xml:space="preserve"> </w:t>
      </w:r>
      <w:r>
        <w:t>M. Zekia, l</w:t>
      </w:r>
      <w:r w:rsidR="003848D0">
        <w:t>’</w:t>
      </w:r>
      <w:r>
        <w:t>a remplacé.</w:t>
      </w:r>
    </w:p>
    <w:p w:rsidR="003206D8" w:rsidRDefault="003206D8" w:rsidP="00943762">
      <w:pPr>
        <w:pStyle w:val="JuPara"/>
      </w:pPr>
      <w:r>
        <w:t>En application de l</w:t>
      </w:r>
      <w:r w:rsidR="003848D0">
        <w:t>’</w:t>
      </w:r>
      <w:r>
        <w:t>article 21 par. 5 du r</w:t>
      </w:r>
      <w:r w:rsidR="00943762">
        <w:t xml:space="preserve">èglement, M. Balladore Pallieri </w:t>
      </w:r>
      <w:r>
        <w:t>a assumé la présidence de la Chambre.</w:t>
      </w:r>
    </w:p>
    <w:p w:rsidR="003206D8" w:rsidRDefault="003206D8" w:rsidP="00943762">
      <w:pPr>
        <w:pStyle w:val="JuPara"/>
      </w:pPr>
      <w:r>
        <w:t>4.</w:t>
      </w:r>
      <w:r w:rsidR="003848D0">
        <w:t xml:space="preserve"> </w:t>
      </w:r>
      <w:r>
        <w:t>Le président de la Chambre a r</w:t>
      </w:r>
      <w:r w:rsidR="00943762">
        <w:t>ecueilli par l</w:t>
      </w:r>
      <w:r w:rsidR="003848D0">
        <w:t>’</w:t>
      </w:r>
      <w:r w:rsidR="00943762">
        <w:t xml:space="preserve">intermédiaire du </w:t>
      </w:r>
      <w:r>
        <w:t>greffier l</w:t>
      </w:r>
      <w:r w:rsidR="003848D0">
        <w:t>’</w:t>
      </w:r>
      <w:r>
        <w:t>opinion de l</w:t>
      </w:r>
      <w:r w:rsidR="003848D0">
        <w:t>’</w:t>
      </w:r>
      <w:r>
        <w:t>agent du gouvernement du Royaume de Danemark</w:t>
      </w:r>
      <w:r w:rsidR="00943762">
        <w:t xml:space="preserve"> </w:t>
      </w:r>
      <w:r>
        <w:t>("le Gouvernement"), de même que celle des d</w:t>
      </w:r>
      <w:r w:rsidR="00943762">
        <w:t xml:space="preserve">élégués de la Commission, </w:t>
      </w:r>
      <w:r>
        <w:t>au sujet de la procédure à suivre.</w:t>
      </w:r>
      <w:r w:rsidR="003848D0">
        <w:t xml:space="preserve"> </w:t>
      </w:r>
      <w:r>
        <w:t>Par une ordonnance du</w:t>
      </w:r>
      <w:r w:rsidR="00943762">
        <w:t xml:space="preserve"> </w:t>
      </w:r>
      <w:r>
        <w:t>8 septembre 1975, il a décidé que le Gouvernement présenterait un</w:t>
      </w:r>
      <w:r w:rsidR="00943762">
        <w:t xml:space="preserve"> </w:t>
      </w:r>
      <w:r>
        <w:t>mémoire dans un délai devant expirer le 1er décembre 1975 et que les</w:t>
      </w:r>
      <w:r w:rsidR="00943762">
        <w:t xml:space="preserve"> </w:t>
      </w:r>
      <w:r>
        <w:t>délégués auraient la faculté d</w:t>
      </w:r>
      <w:r w:rsidR="003848D0">
        <w:t>’</w:t>
      </w:r>
      <w:r>
        <w:t>y répondre par écrit dans un délai de</w:t>
      </w:r>
      <w:r w:rsidR="00943762">
        <w:t xml:space="preserve"> </w:t>
      </w:r>
      <w:r>
        <w:t>deux mois à compter de la réception dudit mémoire.</w:t>
      </w:r>
    </w:p>
    <w:p w:rsidR="003206D8" w:rsidRDefault="003206D8" w:rsidP="00943762">
      <w:pPr>
        <w:pStyle w:val="JuPara"/>
      </w:pPr>
      <w:r>
        <w:t>5.</w:t>
      </w:r>
      <w:r w:rsidR="003848D0">
        <w:t xml:space="preserve"> </w:t>
      </w:r>
      <w:r>
        <w:t>Le 12 novembre 1975, l</w:t>
      </w:r>
      <w:r w:rsidR="003848D0">
        <w:t>’</w:t>
      </w:r>
      <w:r>
        <w:t>agent du gou</w:t>
      </w:r>
      <w:r w:rsidR="00943762">
        <w:t xml:space="preserve">vernement a informé le greffier </w:t>
      </w:r>
      <w:r>
        <w:t>de son intention de contester la compétence de la Cour en l</w:t>
      </w:r>
      <w:r w:rsidR="003848D0">
        <w:t>’</w:t>
      </w:r>
      <w:r>
        <w:t>espèce.</w:t>
      </w:r>
    </w:p>
    <w:p w:rsidR="003206D8" w:rsidRDefault="003206D8" w:rsidP="00943762">
      <w:pPr>
        <w:pStyle w:val="JuPara"/>
      </w:pPr>
      <w:r>
        <w:t xml:space="preserve">Ainsi que le président de la Chambre </w:t>
      </w:r>
      <w:r w:rsidR="00943762">
        <w:t xml:space="preserve">y avait consenti, le mémoire du </w:t>
      </w:r>
      <w:r>
        <w:t>Gouvernement, déposé au greffe le 29 novembre 1975, portait</w:t>
      </w:r>
      <w:r w:rsidR="00943762">
        <w:t xml:space="preserve"> </w:t>
      </w:r>
      <w:r>
        <w:t>exclusivement sur cette question préliminaire.</w:t>
      </w:r>
      <w:r w:rsidR="003848D0">
        <w:t xml:space="preserve"> </w:t>
      </w:r>
      <w:r>
        <w:t>Le Gouvernement s</w:t>
      </w:r>
      <w:r w:rsidR="003848D0">
        <w:t>’</w:t>
      </w:r>
      <w:r>
        <w:t>y</w:t>
      </w:r>
      <w:r w:rsidR="00943762">
        <w:t xml:space="preserve"> </w:t>
      </w:r>
      <w:r>
        <w:t>référait à la déclaration par laquelle il avait reconnu, le</w:t>
      </w:r>
      <w:r w:rsidR="00943762">
        <w:t xml:space="preserve"> </w:t>
      </w:r>
      <w:r>
        <w:t>7 avril 1972, la juridiction de la Cour "comme obligatoire de plein</w:t>
      </w:r>
      <w:r w:rsidR="00943762">
        <w:t xml:space="preserve"> </w:t>
      </w:r>
      <w:r>
        <w:t>droit et sans convention spéciale, vis-à-vis de toute autre Partie</w:t>
      </w:r>
      <w:r w:rsidR="00943762">
        <w:t xml:space="preserve"> </w:t>
      </w:r>
      <w:r>
        <w:t>Contractante à la Convention (...) acceptant la même obligation,</w:t>
      </w:r>
      <w:r w:rsidR="00943762">
        <w:t xml:space="preserve"> </w:t>
      </w:r>
      <w:r>
        <w:t>c</w:t>
      </w:r>
      <w:r w:rsidR="003848D0">
        <w:t>’</w:t>
      </w:r>
      <w:r>
        <w:t>est-à-dire sous condition de réciprocité"; il concluait:</w:t>
      </w:r>
    </w:p>
    <w:p w:rsidR="003206D8" w:rsidRDefault="003206D8" w:rsidP="00A46014">
      <w:pPr>
        <w:pStyle w:val="JuPara"/>
      </w:pPr>
      <w:r>
        <w:t xml:space="preserve">(i) que ladite déclaration </w:t>
      </w:r>
      <w:r w:rsidR="00943762">
        <w:t xml:space="preserve">"ne vaut expressément que pour </w:t>
      </w:r>
      <w:r>
        <w:t xml:space="preserve">les affaires portées devant la Cour par un autre </w:t>
      </w:r>
      <w:r w:rsidR="00943762">
        <w:t>État</w:t>
      </w:r>
      <w:r>
        <w:t xml:space="preserve"> déclarant";</w:t>
      </w:r>
    </w:p>
    <w:p w:rsidR="003206D8" w:rsidRDefault="003206D8" w:rsidP="00A46014">
      <w:pPr>
        <w:pStyle w:val="JuPara"/>
      </w:pPr>
      <w:r>
        <w:t>(ii) "que pareille limitatio</w:t>
      </w:r>
      <w:r w:rsidR="00943762">
        <w:t xml:space="preserve">n de la portée des déclarations </w:t>
      </w:r>
      <w:r>
        <w:t>formulées en vertu de l</w:t>
      </w:r>
      <w:r w:rsidR="003848D0">
        <w:t>’</w:t>
      </w:r>
      <w:r>
        <w:t>article 46 (art. 46) ne se trouve exclue ni par</w:t>
      </w:r>
      <w:r w:rsidR="00943762">
        <w:t xml:space="preserve"> </w:t>
      </w:r>
      <w:r>
        <w:t>celui-ci ni par l</w:t>
      </w:r>
      <w:r w:rsidR="003848D0">
        <w:t>’</w:t>
      </w:r>
      <w:r>
        <w:t>économie de la Convention";</w:t>
      </w:r>
    </w:p>
    <w:p w:rsidR="003206D8" w:rsidRDefault="003206D8" w:rsidP="00A46014">
      <w:pPr>
        <w:pStyle w:val="JuPara"/>
      </w:pPr>
      <w:r>
        <w:t>(iii) "qu</w:t>
      </w:r>
      <w:r w:rsidR="003848D0">
        <w:t>’</w:t>
      </w:r>
      <w:r>
        <w:t>en tout cas" le Gouve</w:t>
      </w:r>
      <w:r w:rsidR="00943762">
        <w:t xml:space="preserve">rnement "ne peut être considéré </w:t>
      </w:r>
      <w:r>
        <w:t>comme soumis à la juridiction obligatoire de la Cour au-delà</w:t>
      </w:r>
      <w:r w:rsidR="00943762">
        <w:t xml:space="preserve"> </w:t>
      </w:r>
      <w:r>
        <w:t>des termes exprès" de sa déclaration.</w:t>
      </w:r>
    </w:p>
    <w:p w:rsidR="003206D8" w:rsidRDefault="003206D8" w:rsidP="00796A23">
      <w:pPr>
        <w:pStyle w:val="JuPara"/>
      </w:pPr>
      <w:r>
        <w:t>Soulignant en outre qu</w:t>
      </w:r>
      <w:r w:rsidR="003848D0">
        <w:t>’</w:t>
      </w:r>
      <w:r>
        <w:t>il n</w:t>
      </w:r>
      <w:r w:rsidR="003848D0">
        <w:t>’</w:t>
      </w:r>
      <w:r>
        <w:t>avait pas a</w:t>
      </w:r>
      <w:r w:rsidR="00796A23">
        <w:t xml:space="preserve">ccepté ad hoc la juridiction de </w:t>
      </w:r>
      <w:r>
        <w:t>la Cour en l</w:t>
      </w:r>
      <w:r w:rsidR="003848D0">
        <w:t>’</w:t>
      </w:r>
      <w:r>
        <w:t>espèce (article 48 de la Convention) (art. 48), le Gouvernement</w:t>
      </w:r>
      <w:r w:rsidR="00796A23">
        <w:t xml:space="preserve"> </w:t>
      </w:r>
      <w:r>
        <w:t>invitait la Cour à constater qu</w:t>
      </w:r>
      <w:r w:rsidR="003848D0">
        <w:t>’</w:t>
      </w:r>
      <w:r>
        <w:t>elle n</w:t>
      </w:r>
      <w:r w:rsidR="003848D0">
        <w:t>’</w:t>
      </w:r>
      <w:r>
        <w:t>avait "pas compétence pour</w:t>
      </w:r>
      <w:r w:rsidR="00796A23">
        <w:t xml:space="preserve"> </w:t>
      </w:r>
      <w:r>
        <w:t>connaître du fond de la présente affaire".</w:t>
      </w:r>
    </w:p>
    <w:p w:rsidR="003206D8" w:rsidRDefault="003206D8" w:rsidP="00796A23">
      <w:pPr>
        <w:pStyle w:val="JuPara"/>
      </w:pPr>
      <w:r>
        <w:t>6.</w:t>
      </w:r>
      <w:r w:rsidR="003848D0">
        <w:t xml:space="preserve"> </w:t>
      </w:r>
      <w:r>
        <w:t>Par un message parvenu au greffe</w:t>
      </w:r>
      <w:r w:rsidR="00796A23">
        <w:t xml:space="preserve"> le 16 janvier 1976, l</w:t>
      </w:r>
      <w:r w:rsidR="003848D0">
        <w:t>’</w:t>
      </w:r>
      <w:r w:rsidR="00796A23">
        <w:t xml:space="preserve">agent du </w:t>
      </w:r>
      <w:r>
        <w:t>Gouvernement a informé le greffier qu</w:t>
      </w:r>
      <w:r w:rsidR="003848D0">
        <w:t>’</w:t>
      </w:r>
      <w:r>
        <w:t>à la suite d</w:t>
      </w:r>
      <w:r w:rsidR="003848D0">
        <w:t>’</w:t>
      </w:r>
      <w:r>
        <w:t>un débat qui avait</w:t>
      </w:r>
      <w:r w:rsidR="00796A23">
        <w:t xml:space="preserve"> </w:t>
      </w:r>
      <w:r>
        <w:t>eu lieu la veille au parlement danois, son gouvernement avait "décidé</w:t>
      </w:r>
      <w:r w:rsidR="00796A23">
        <w:t xml:space="preserve"> </w:t>
      </w:r>
      <w:r>
        <w:t>de retirer avec effet immédiat son exception préliminaire, acceptant</w:t>
      </w:r>
      <w:r w:rsidR="00796A23">
        <w:t xml:space="preserve"> </w:t>
      </w:r>
      <w:r>
        <w:t>ainsi ad hoc la juridiction de la Cour".</w:t>
      </w:r>
    </w:p>
    <w:p w:rsidR="003206D8" w:rsidRDefault="003206D8" w:rsidP="00796A23">
      <w:pPr>
        <w:pStyle w:val="JuPara"/>
      </w:pPr>
      <w:r>
        <w:t>7.</w:t>
      </w:r>
      <w:r w:rsidR="003848D0">
        <w:t xml:space="preserve"> </w:t>
      </w:r>
      <w:r>
        <w:t xml:space="preserve">Réunie à Strasbourg le 20 </w:t>
      </w:r>
      <w:r w:rsidR="00796A23">
        <w:t xml:space="preserve">janvier 1976, la Chambre a pris </w:t>
      </w:r>
      <w:r>
        <w:t>connaissance dudit message et chargé le président d</w:t>
      </w:r>
      <w:r w:rsidR="003848D0">
        <w:t>’</w:t>
      </w:r>
      <w:r>
        <w:t>en donner acte au</w:t>
      </w:r>
      <w:r w:rsidR="00796A23">
        <w:t xml:space="preserve"> </w:t>
      </w:r>
      <w:r>
        <w:t>Gouvernement, tâche dont il s</w:t>
      </w:r>
      <w:r w:rsidR="003848D0">
        <w:t>’</w:t>
      </w:r>
      <w:r>
        <w:t>est acquitté par une ordonnance du</w:t>
      </w:r>
      <w:r w:rsidR="00796A23">
        <w:t xml:space="preserve"> </w:t>
      </w:r>
      <w:r>
        <w:t>28 janvier.</w:t>
      </w:r>
    </w:p>
    <w:p w:rsidR="003206D8" w:rsidRDefault="003206D8" w:rsidP="00796A23">
      <w:pPr>
        <w:pStyle w:val="JuPara"/>
      </w:pPr>
      <w:r>
        <w:t>La Chambre a relevé que sa compétence se trouvait désormais é</w:t>
      </w:r>
      <w:r w:rsidR="00796A23">
        <w:t xml:space="preserve">tablie en </w:t>
      </w:r>
      <w:r>
        <w:t>l</w:t>
      </w:r>
      <w:r w:rsidR="003848D0">
        <w:t>’</w:t>
      </w:r>
      <w:r>
        <w:t>espèce, que ce fût sur la base du consentement ou agrément spécial</w:t>
      </w:r>
      <w:r w:rsidR="00796A23">
        <w:t xml:space="preserve"> </w:t>
      </w:r>
      <w:r>
        <w:t>exprimé dans ce message ou en vertu de la déclaration générale</w:t>
      </w:r>
      <w:r w:rsidR="00796A23">
        <w:t xml:space="preserve"> </w:t>
      </w:r>
      <w:r>
        <w:t>souscrite par le Royaume de Danemark le 7 avril 1972 au titre de</w:t>
      </w:r>
      <w:r w:rsidR="00796A23">
        <w:t xml:space="preserve"> </w:t>
      </w:r>
      <w:r>
        <w:t>l</w:t>
      </w:r>
      <w:r w:rsidR="003848D0">
        <w:t>’</w:t>
      </w:r>
      <w:r>
        <w:t>article 46 (art. 46) de la Convention, ainsi que les délégués de la</w:t>
      </w:r>
      <w:r w:rsidR="00796A23">
        <w:t xml:space="preserve"> </w:t>
      </w:r>
      <w:r>
        <w:t>Commission l</w:t>
      </w:r>
      <w:r w:rsidR="003848D0">
        <w:t>’</w:t>
      </w:r>
      <w:r>
        <w:t>ont soutenu dans un mémoire déposé au greffe</w:t>
      </w:r>
      <w:r w:rsidR="00796A23">
        <w:t xml:space="preserve"> </w:t>
      </w:r>
      <w:r>
        <w:t>le 26 janvier 1976.</w:t>
      </w:r>
    </w:p>
    <w:p w:rsidR="003206D8" w:rsidRDefault="003206D8" w:rsidP="00796A23">
      <w:pPr>
        <w:pStyle w:val="JuPara"/>
      </w:pPr>
      <w:r>
        <w:t>8.</w:t>
      </w:r>
      <w:r w:rsidR="003848D0">
        <w:t xml:space="preserve"> </w:t>
      </w:r>
      <w:r>
        <w:t>Par la même ordonnance du 28 j</w:t>
      </w:r>
      <w:r w:rsidR="00796A23">
        <w:t xml:space="preserve">anvier 1976, le président de la </w:t>
      </w:r>
      <w:r>
        <w:t>Chambre a organisé la procédure écrite relative au fond de l</w:t>
      </w:r>
      <w:r w:rsidR="003848D0">
        <w:t>’</w:t>
      </w:r>
      <w:r>
        <w:t>affaire.</w:t>
      </w:r>
      <w:r w:rsidR="00796A23">
        <w:t xml:space="preserve"> </w:t>
      </w:r>
      <w:r>
        <w:t>Ayant consulté à ce sujet, par l</w:t>
      </w:r>
      <w:r w:rsidR="003848D0">
        <w:t>’</w:t>
      </w:r>
      <w:r>
        <w:t>intermédiaire du greffier, l</w:t>
      </w:r>
      <w:r w:rsidR="003848D0">
        <w:t>’</w:t>
      </w:r>
      <w:r>
        <w:t>agent du</w:t>
      </w:r>
      <w:r w:rsidR="00796A23">
        <w:t xml:space="preserve"> </w:t>
      </w:r>
      <w:r>
        <w:t>Gouvernement et les délégués de la Commission, il a décidé que le</w:t>
      </w:r>
      <w:r w:rsidR="00796A23">
        <w:t xml:space="preserve"> </w:t>
      </w:r>
      <w:r>
        <w:t>Gouvernement déposerait un mémoire au plus tard le 10 mars 1976 et que</w:t>
      </w:r>
      <w:r w:rsidR="00796A23">
        <w:t xml:space="preserve"> </w:t>
      </w:r>
      <w:r>
        <w:t>les délégués de la Commission auraient la faculté d</w:t>
      </w:r>
      <w:r w:rsidR="003848D0">
        <w:t>’</w:t>
      </w:r>
      <w:r>
        <w:t>y répondre par</w:t>
      </w:r>
      <w:r w:rsidR="00796A23">
        <w:t xml:space="preserve"> </w:t>
      </w:r>
      <w:r>
        <w:t>écrit dans un délai de deux mois à compter de la réception dudit</w:t>
      </w:r>
      <w:r w:rsidR="00796A23">
        <w:t xml:space="preserve"> </w:t>
      </w:r>
      <w:r>
        <w:t>mémoire.</w:t>
      </w:r>
    </w:p>
    <w:p w:rsidR="003206D8" w:rsidRDefault="003206D8" w:rsidP="00796A23">
      <w:pPr>
        <w:pStyle w:val="JuPara"/>
      </w:pPr>
      <w:r>
        <w:t xml:space="preserve">Le mémoire du Gouvernement est arrivé </w:t>
      </w:r>
      <w:r w:rsidR="00796A23">
        <w:t xml:space="preserve">au greffe le 11 mars, celui des </w:t>
      </w:r>
      <w:r>
        <w:t>délégués le 12 mai 1976.</w:t>
      </w:r>
    </w:p>
    <w:p w:rsidR="003206D8" w:rsidRDefault="003206D8" w:rsidP="00796A23">
      <w:pPr>
        <w:pStyle w:val="JuPara"/>
      </w:pPr>
      <w:r>
        <w:t>9.</w:t>
      </w:r>
      <w:r w:rsidR="003848D0">
        <w:t xml:space="preserve"> </w:t>
      </w:r>
      <w:r>
        <w:t>Le 20 mars 1976, le président de la Chambre a chargé le greffier</w:t>
      </w:r>
      <w:r w:rsidR="00796A23">
        <w:t xml:space="preserve"> </w:t>
      </w:r>
      <w:r>
        <w:t>d</w:t>
      </w:r>
      <w:r w:rsidR="003848D0">
        <w:t>’</w:t>
      </w:r>
      <w:r>
        <w:t>inviter la Commission à produire certains documents qui ont été</w:t>
      </w:r>
      <w:r w:rsidR="00796A23">
        <w:t xml:space="preserve"> </w:t>
      </w:r>
      <w:r>
        <w:t>fournis au greffe le 26 mars.</w:t>
      </w:r>
    </w:p>
    <w:p w:rsidR="003206D8" w:rsidRDefault="003206D8" w:rsidP="00796A23">
      <w:pPr>
        <w:pStyle w:val="JuPara"/>
      </w:pPr>
      <w:r>
        <w:t>10.</w:t>
      </w:r>
      <w:r w:rsidR="003848D0">
        <w:t xml:space="preserve"> </w:t>
      </w:r>
      <w:r>
        <w:t>Par une ordonnance du 19 mai 197</w:t>
      </w:r>
      <w:r w:rsidR="00796A23">
        <w:t xml:space="preserve">6, le président de la Chambre a </w:t>
      </w:r>
      <w:r>
        <w:t>fixé au 1er juin 1976 la date d</w:t>
      </w:r>
      <w:r w:rsidR="003848D0">
        <w:t>’</w:t>
      </w:r>
      <w:r>
        <w:t>ouverture des audiences, après avoir</w:t>
      </w:r>
      <w:r w:rsidR="00796A23">
        <w:t xml:space="preserve"> </w:t>
      </w:r>
      <w:r>
        <w:t>consulté l</w:t>
      </w:r>
      <w:r w:rsidR="003848D0">
        <w:t>’</w:t>
      </w:r>
      <w:r>
        <w:t>agent du Gouvernement et les délégués de la Commission par</w:t>
      </w:r>
      <w:r w:rsidR="00796A23">
        <w:t xml:space="preserve"> </w:t>
      </w:r>
      <w:r>
        <w:t>l</w:t>
      </w:r>
      <w:r w:rsidR="003848D0">
        <w:t>’</w:t>
      </w:r>
      <w:r>
        <w:t>intermédiaire du greffier.</w:t>
      </w:r>
    </w:p>
    <w:p w:rsidR="003206D8" w:rsidRDefault="003206D8" w:rsidP="00796A23">
      <w:pPr>
        <w:pStyle w:val="JuPara"/>
      </w:pPr>
      <w:r>
        <w:t>11.</w:t>
      </w:r>
      <w:r w:rsidR="003848D0">
        <w:t xml:space="preserve"> </w:t>
      </w:r>
      <w:r>
        <w:t>Les époux Kjeldsen ont décl</w:t>
      </w:r>
      <w:r w:rsidR="00796A23">
        <w:t xml:space="preserve">aré retirer leur requête par un </w:t>
      </w:r>
      <w:r>
        <w:t>télégramme du 13 mai 1976 au délégué principal de la Commission.</w:t>
      </w:r>
      <w:r w:rsidR="003848D0">
        <w:t xml:space="preserve"> </w:t>
      </w:r>
      <w:r>
        <w:t>Le</w:t>
      </w:r>
      <w:r w:rsidR="00796A23">
        <w:t xml:space="preserve"> </w:t>
      </w:r>
      <w:r>
        <w:t>secrétaire de celle-ci l</w:t>
      </w:r>
      <w:r w:rsidR="003848D0">
        <w:t>’</w:t>
      </w:r>
      <w:r>
        <w:t>a fait savoir au greffier le 21 mai; il a</w:t>
      </w:r>
      <w:r w:rsidR="00796A23">
        <w:t xml:space="preserve"> </w:t>
      </w:r>
      <w:r>
        <w:t>précisé en même temps que la Commission, après en avoir délibéré,</w:t>
      </w:r>
      <w:r w:rsidR="00796A23">
        <w:t xml:space="preserve"> </w:t>
      </w:r>
      <w:r>
        <w:t>avait décidé de prier la Cour de ne pas rayer la requête du rôle.</w:t>
      </w:r>
    </w:p>
    <w:p w:rsidR="003206D8" w:rsidRDefault="003206D8" w:rsidP="00796A23">
      <w:pPr>
        <w:pStyle w:val="JuPara"/>
      </w:pPr>
      <w:r>
        <w:t>M. et Mme Kjeldsen ont en outr</w:t>
      </w:r>
      <w:r w:rsidR="00796A23">
        <w:t xml:space="preserve">e écrit directement au greffier </w:t>
      </w:r>
      <w:r>
        <w:t>les 17 et 27 mai 1976.</w:t>
      </w:r>
      <w:r w:rsidR="003848D0">
        <w:t xml:space="preserve"> </w:t>
      </w:r>
      <w:r>
        <w:t>Dans leurs lettres, rédigées en termes assez</w:t>
      </w:r>
      <w:r w:rsidR="00796A23">
        <w:t xml:space="preserve"> </w:t>
      </w:r>
      <w:r>
        <w:t>véhéments, ils expliquaient leur "désistement" par l</w:t>
      </w:r>
      <w:r w:rsidR="003848D0">
        <w:t>’</w:t>
      </w:r>
      <w:r>
        <w:t>écart profond qui</w:t>
      </w:r>
      <w:r w:rsidR="00796A23">
        <w:t xml:space="preserve"> </w:t>
      </w:r>
      <w:r>
        <w:t>séparerait leur propre thèse de celle des requérants Busk Madsen et</w:t>
      </w:r>
      <w:r w:rsidR="00796A23">
        <w:t xml:space="preserve"> </w:t>
      </w:r>
      <w:r>
        <w:t>Pedersen.</w:t>
      </w:r>
      <w:r w:rsidR="003848D0">
        <w:t xml:space="preserve"> </w:t>
      </w:r>
      <w:r>
        <w:t>Reprochant à la Commission d</w:t>
      </w:r>
      <w:r w:rsidR="003848D0">
        <w:t>’</w:t>
      </w:r>
      <w:r>
        <w:t>avoir ordonné la jonction des</w:t>
      </w:r>
      <w:r w:rsidR="00796A23">
        <w:t xml:space="preserve"> </w:t>
      </w:r>
      <w:r>
        <w:t>trois requêtes, ils demandaient à la Cour, à titre subsidiaire,</w:t>
      </w:r>
      <w:r w:rsidR="00796A23">
        <w:t xml:space="preserve"> </w:t>
      </w:r>
      <w:r>
        <w:t>de renvoyer les débats à une date ultérieure et d</w:t>
      </w:r>
      <w:r w:rsidR="003848D0">
        <w:t>’</w:t>
      </w:r>
      <w:r>
        <w:t>examiner leur cas à</w:t>
      </w:r>
      <w:r w:rsidR="00796A23">
        <w:t xml:space="preserve"> </w:t>
      </w:r>
      <w:r>
        <w:t>part.</w:t>
      </w:r>
    </w:p>
    <w:p w:rsidR="003206D8" w:rsidRDefault="003206D8" w:rsidP="00796A23">
      <w:pPr>
        <w:pStyle w:val="JuPara"/>
      </w:pPr>
      <w:r>
        <w:t>12.</w:t>
      </w:r>
      <w:r w:rsidR="003848D0">
        <w:t xml:space="preserve"> </w:t>
      </w:r>
      <w:r>
        <w:t>Les 24 et 31 mai, puis le 1</w:t>
      </w:r>
      <w:r w:rsidR="00796A23">
        <w:t xml:space="preserve">er juin 1976, le Gouvernement a </w:t>
      </w:r>
      <w:r>
        <w:t>communiqué plusieurs documents à la Cour.</w:t>
      </w:r>
    </w:p>
    <w:p w:rsidR="003206D8" w:rsidRDefault="003206D8" w:rsidP="00796A23">
      <w:pPr>
        <w:pStyle w:val="JuPara"/>
      </w:pPr>
      <w:r>
        <w:t>13.</w:t>
      </w:r>
      <w:r w:rsidR="003848D0">
        <w:t xml:space="preserve"> </w:t>
      </w:r>
      <w:r>
        <w:t>Les débats se sont déroulés en publi</w:t>
      </w:r>
      <w:r w:rsidR="00796A23">
        <w:t xml:space="preserve">c les 1er et 2 juin 1976 à </w:t>
      </w:r>
      <w:r>
        <w:t>Strasbourg au Palais des Droits de l</w:t>
      </w:r>
      <w:r w:rsidR="003848D0">
        <w:t>’</w:t>
      </w:r>
      <w:r>
        <w:t>Homme.</w:t>
      </w:r>
    </w:p>
    <w:p w:rsidR="003206D8" w:rsidRDefault="003206D8" w:rsidP="00796A23">
      <w:pPr>
        <w:pStyle w:val="JuPara"/>
      </w:pPr>
      <w:r>
        <w:t>Ont comparu devant la Cour:</w:t>
      </w:r>
    </w:p>
    <w:p w:rsidR="003206D8" w:rsidRDefault="003206D8" w:rsidP="00796A23">
      <w:pPr>
        <w:pStyle w:val="JuPara"/>
      </w:pPr>
      <w:r>
        <w:t>- pour le Gouvernement:</w:t>
      </w:r>
    </w:p>
    <w:p w:rsidR="003848D0" w:rsidRDefault="00796A23" w:rsidP="00796A23">
      <w:pPr>
        <w:pStyle w:val="JuCourt"/>
      </w:pPr>
      <w:r>
        <w:tab/>
      </w:r>
      <w:r w:rsidR="003206D8">
        <w:t>M. A. SPANG-HANSSEN, avocat</w:t>
      </w:r>
    </w:p>
    <w:p w:rsidR="003206D8" w:rsidRDefault="00796A23" w:rsidP="00796A23">
      <w:pPr>
        <w:pStyle w:val="JuCourt"/>
      </w:pPr>
      <w:r>
        <w:tab/>
      </w:r>
      <w:r>
        <w:tab/>
      </w:r>
      <w:r>
        <w:tab/>
      </w:r>
      <w:r w:rsidR="003206D8">
        <w:t>à la Cour suprême du</w:t>
      </w:r>
      <w:r>
        <w:t xml:space="preserve"> </w:t>
      </w:r>
      <w:r w:rsidR="003206D8">
        <w:t>Danemark,</w:t>
      </w:r>
      <w:r>
        <w:tab/>
      </w:r>
      <w:r w:rsidR="003206D8">
        <w:t xml:space="preserve"> </w:t>
      </w:r>
      <w:r w:rsidR="003206D8" w:rsidRPr="00796A23">
        <w:rPr>
          <w:i/>
        </w:rPr>
        <w:t>agent</w:t>
      </w:r>
      <w:r w:rsidR="003206D8">
        <w:t>;</w:t>
      </w:r>
    </w:p>
    <w:p w:rsidR="003848D0" w:rsidRDefault="00796A23" w:rsidP="00796A23">
      <w:pPr>
        <w:pStyle w:val="JuCourt"/>
      </w:pPr>
      <w:r>
        <w:tab/>
      </w:r>
      <w:r w:rsidR="003206D8">
        <w:t>M. J. MUNCK-HANSEN, Chef de division</w:t>
      </w:r>
    </w:p>
    <w:p w:rsidR="003206D8" w:rsidRDefault="00796A23" w:rsidP="00796A23">
      <w:pPr>
        <w:pStyle w:val="JuCourt"/>
      </w:pPr>
      <w:r>
        <w:tab/>
      </w:r>
      <w:r>
        <w:tab/>
      </w:r>
      <w:r>
        <w:tab/>
      </w:r>
      <w:r w:rsidR="003206D8">
        <w:t>au ministère de l</w:t>
      </w:r>
      <w:r w:rsidR="003848D0">
        <w:t>’</w:t>
      </w:r>
      <w:r w:rsidR="003206D8">
        <w:t>éducation,</w:t>
      </w:r>
    </w:p>
    <w:p w:rsidR="003848D0" w:rsidRDefault="003206D8" w:rsidP="00796A23">
      <w:pPr>
        <w:pStyle w:val="JuCourt"/>
      </w:pPr>
      <w:r>
        <w:t>M. T. RECHNAGEL, Chef de division</w:t>
      </w:r>
    </w:p>
    <w:p w:rsidR="00796A23" w:rsidRDefault="00796A23" w:rsidP="00796A23">
      <w:pPr>
        <w:pStyle w:val="JuCourt"/>
      </w:pPr>
      <w:r>
        <w:tab/>
      </w:r>
      <w:r>
        <w:tab/>
      </w:r>
      <w:r>
        <w:tab/>
      </w:r>
      <w:r w:rsidR="003206D8">
        <w:t>à la direction des affaires</w:t>
      </w:r>
      <w:r>
        <w:t xml:space="preserve"> </w:t>
      </w:r>
      <w:r w:rsidR="003206D8">
        <w:t xml:space="preserve">juridiques du ministère des </w:t>
      </w:r>
      <w:r>
        <w:tab/>
      </w:r>
    </w:p>
    <w:p w:rsidR="003206D8" w:rsidRDefault="00796A23" w:rsidP="00796A23">
      <w:pPr>
        <w:pStyle w:val="JuCourt"/>
      </w:pPr>
      <w:r>
        <w:tab/>
      </w:r>
      <w:r>
        <w:tab/>
      </w:r>
      <w:r>
        <w:tab/>
      </w:r>
      <w:r w:rsidR="003206D8">
        <w:t>affaires étrangères,</w:t>
      </w:r>
    </w:p>
    <w:p w:rsidR="003848D0" w:rsidRDefault="003206D8" w:rsidP="00796A23">
      <w:pPr>
        <w:pStyle w:val="JuCourt"/>
      </w:pPr>
      <w:r>
        <w:t>M. N. EILSCHOU HOLM, Chef de division</w:t>
      </w:r>
    </w:p>
    <w:p w:rsidR="003206D8" w:rsidRDefault="00796A23" w:rsidP="00796A23">
      <w:pPr>
        <w:pStyle w:val="JuCourt"/>
      </w:pPr>
      <w:r>
        <w:tab/>
      </w:r>
      <w:r>
        <w:tab/>
      </w:r>
      <w:r>
        <w:tab/>
      </w:r>
      <w:r w:rsidR="003206D8">
        <w:t>au ministère de la justice,</w:t>
      </w:r>
      <w:r w:rsidR="003848D0">
        <w:t xml:space="preserve">             </w:t>
      </w:r>
      <w:r>
        <w:t xml:space="preserve"> </w:t>
      </w:r>
      <w:r>
        <w:tab/>
      </w:r>
      <w:r w:rsidR="003206D8" w:rsidRPr="00796A23">
        <w:rPr>
          <w:i/>
          <w:iCs/>
        </w:rPr>
        <w:t>conseillers</w:t>
      </w:r>
      <w:r w:rsidR="003206D8">
        <w:t>;</w:t>
      </w:r>
    </w:p>
    <w:p w:rsidR="003206D8" w:rsidRDefault="003206D8" w:rsidP="00796A23">
      <w:pPr>
        <w:pStyle w:val="JuPara"/>
      </w:pPr>
      <w:r>
        <w:t>- pour la Commission:</w:t>
      </w:r>
    </w:p>
    <w:p w:rsidR="003206D8" w:rsidRDefault="00796A23" w:rsidP="00796A23">
      <w:pPr>
        <w:pStyle w:val="JuCourt"/>
      </w:pPr>
      <w:r>
        <w:tab/>
      </w:r>
      <w:r w:rsidR="003206D8">
        <w:t xml:space="preserve">M. F. WELTER, </w:t>
      </w:r>
      <w:r>
        <w:tab/>
      </w:r>
      <w:r w:rsidR="003206D8" w:rsidRPr="00796A23">
        <w:rPr>
          <w:i/>
          <w:iCs/>
        </w:rPr>
        <w:t>délégué principal</w:t>
      </w:r>
      <w:r w:rsidR="003206D8">
        <w:t>,</w:t>
      </w:r>
    </w:p>
    <w:p w:rsidR="003206D8" w:rsidRDefault="00796A23" w:rsidP="00796A23">
      <w:pPr>
        <w:pStyle w:val="JuCourt"/>
      </w:pPr>
      <w:r>
        <w:tab/>
      </w:r>
      <w:r w:rsidR="003206D8">
        <w:t xml:space="preserve">M. J. FROWEIN, </w:t>
      </w:r>
      <w:r>
        <w:tab/>
      </w:r>
      <w:r w:rsidR="003206D8" w:rsidRPr="00796A23">
        <w:rPr>
          <w:i/>
          <w:iCs/>
        </w:rPr>
        <w:t>délégué</w:t>
      </w:r>
      <w:r w:rsidR="003206D8">
        <w:t>.</w:t>
      </w:r>
    </w:p>
    <w:p w:rsidR="003206D8" w:rsidRDefault="003206D8" w:rsidP="00796A23">
      <w:pPr>
        <w:pStyle w:val="JuPara"/>
      </w:pPr>
      <w:r>
        <w:t>La Cour a ouï en leurs déclarations,</w:t>
      </w:r>
      <w:r w:rsidR="00796A23">
        <w:t xml:space="preserve"> ainsi qu</w:t>
      </w:r>
      <w:r w:rsidR="003848D0">
        <w:t>’</w:t>
      </w:r>
      <w:r w:rsidR="00796A23">
        <w:t xml:space="preserve">en leurs réponses aux </w:t>
      </w:r>
      <w:r>
        <w:t>questions posées par elle, MM. Welter et Frowein pour la Commission</w:t>
      </w:r>
      <w:r w:rsidR="00796A23">
        <w:t xml:space="preserve"> </w:t>
      </w:r>
      <w:r>
        <w:t xml:space="preserve">et, pour le Gouvernement, M. </w:t>
      </w:r>
      <w:r w:rsidRPr="0004798B">
        <w:rPr>
          <w:lang w:val="da-DK"/>
        </w:rPr>
        <w:t>Spang-Hanssen</w:t>
      </w:r>
      <w:r>
        <w:t>.</w:t>
      </w:r>
    </w:p>
    <w:p w:rsidR="003206D8" w:rsidRDefault="003206D8" w:rsidP="0004798B">
      <w:pPr>
        <w:pStyle w:val="JuHHead"/>
      </w:pPr>
      <w:r>
        <w:t>FAITS</w:t>
      </w:r>
    </w:p>
    <w:p w:rsidR="003206D8" w:rsidRDefault="003206D8" w:rsidP="0004798B">
      <w:pPr>
        <w:pStyle w:val="JuPara"/>
      </w:pPr>
      <w:r>
        <w:t>14.</w:t>
      </w:r>
      <w:r w:rsidR="003848D0">
        <w:t xml:space="preserve"> </w:t>
      </w:r>
      <w:r>
        <w:t xml:space="preserve">Les requérants, pères et mères de </w:t>
      </w:r>
      <w:r w:rsidR="0004798B">
        <w:t xml:space="preserve">famille de nationalité danoise, </w:t>
      </w:r>
      <w:r>
        <w:t>résident au Danemark.</w:t>
      </w:r>
      <w:r w:rsidR="003848D0">
        <w:t xml:space="preserve"> </w:t>
      </w:r>
      <w:r>
        <w:t>M. Viking Kjeldsen, galvaniseur, et son épouse</w:t>
      </w:r>
      <w:r w:rsidR="0004798B">
        <w:t xml:space="preserve"> </w:t>
      </w:r>
      <w:r w:rsidRPr="0004798B">
        <w:rPr>
          <w:lang w:val="da-DK"/>
        </w:rPr>
        <w:t>Annemarie</w:t>
      </w:r>
      <w:r>
        <w:t xml:space="preserve">, institutrice, habitent à </w:t>
      </w:r>
      <w:r w:rsidRPr="0004798B">
        <w:rPr>
          <w:lang w:val="da-DK"/>
        </w:rPr>
        <w:t>Varde</w:t>
      </w:r>
      <w:r>
        <w:t xml:space="preserve">; M. </w:t>
      </w:r>
      <w:r w:rsidRPr="0004798B">
        <w:rPr>
          <w:lang w:val="da-DK"/>
        </w:rPr>
        <w:t>Arne</w:t>
      </w:r>
      <w:r>
        <w:t xml:space="preserve"> Busk Madsen,</w:t>
      </w:r>
      <w:r w:rsidR="0004798B">
        <w:t xml:space="preserve"> </w:t>
      </w:r>
      <w:r>
        <w:t xml:space="preserve">pasteur, et sa femme </w:t>
      </w:r>
      <w:r w:rsidRPr="0004798B">
        <w:rPr>
          <w:lang w:val="da-DK"/>
        </w:rPr>
        <w:t>Inger</w:t>
      </w:r>
      <w:r>
        <w:t xml:space="preserve">, institutrice, à </w:t>
      </w:r>
      <w:r w:rsidRPr="0004798B">
        <w:rPr>
          <w:lang w:val="da-DK"/>
        </w:rPr>
        <w:t>Åbenrå</w:t>
      </w:r>
      <w:r>
        <w:t>; M. Hans Pedersen,</w:t>
      </w:r>
      <w:r w:rsidR="0004798B">
        <w:t xml:space="preserve"> </w:t>
      </w:r>
      <w:r>
        <w:t xml:space="preserve">pasteur, et Mme Ellen Pedersen à </w:t>
      </w:r>
      <w:r w:rsidRPr="0004798B">
        <w:rPr>
          <w:lang w:val="da-DK"/>
        </w:rPr>
        <w:t>Ålborg</w:t>
      </w:r>
      <w:r>
        <w:t>.</w:t>
      </w:r>
    </w:p>
    <w:p w:rsidR="003206D8" w:rsidRDefault="003206D8" w:rsidP="00EE1049">
      <w:pPr>
        <w:pStyle w:val="JuPara"/>
      </w:pPr>
      <w:r>
        <w:t>Ayant des enfants d</w:t>
      </w:r>
      <w:r w:rsidR="003848D0">
        <w:t>’</w:t>
      </w:r>
      <w:r>
        <w:t>âge scolaire,</w:t>
      </w:r>
      <w:r w:rsidR="00EE1049">
        <w:t xml:space="preserve"> les trois couples s</w:t>
      </w:r>
      <w:r w:rsidR="003848D0">
        <w:t>’</w:t>
      </w:r>
      <w:r w:rsidR="00EE1049">
        <w:t xml:space="preserve">opposent à </w:t>
      </w:r>
      <w:r>
        <w:t>l</w:t>
      </w:r>
      <w:r w:rsidR="003848D0">
        <w:t>’</w:t>
      </w:r>
      <w:r>
        <w:t>éducation sexuelle intégrée, et de ce fait obligatoire, telle que la</w:t>
      </w:r>
      <w:r w:rsidR="00EE1049">
        <w:t xml:space="preserve"> </w:t>
      </w:r>
      <w:r>
        <w:t>loi n</w:t>
      </w:r>
      <w:r w:rsidR="003848D0" w:rsidRPr="003848D0">
        <w:rPr>
          <w:vertAlign w:val="superscript"/>
        </w:rPr>
        <w:t>o</w:t>
      </w:r>
      <w:r>
        <w:t xml:space="preserve"> 235 du 27 mai 1970, modifiant la loi sur les écoles publiques</w:t>
      </w:r>
      <w:r w:rsidR="00EE1049">
        <w:t xml:space="preserve"> </w:t>
      </w:r>
      <w:r w:rsidRPr="00EE1049">
        <w:t>(</w:t>
      </w:r>
      <w:r w:rsidRPr="00EE1049">
        <w:rPr>
          <w:lang w:val="da-DK"/>
        </w:rPr>
        <w:t>lov</w:t>
      </w:r>
      <w:r w:rsidRPr="00EE1049">
        <w:t xml:space="preserve"> om </w:t>
      </w:r>
      <w:r w:rsidR="00EE1049" w:rsidRPr="00EE1049">
        <w:rPr>
          <w:lang w:val="da-DK"/>
        </w:rPr>
        <w:t>ændring</w:t>
      </w:r>
      <w:r w:rsidRPr="00EE1049">
        <w:t xml:space="preserve"> </w:t>
      </w:r>
      <w:r w:rsidRPr="00EE1049">
        <w:rPr>
          <w:lang w:val="da-DK"/>
        </w:rPr>
        <w:t>af</w:t>
      </w:r>
      <w:r w:rsidRPr="00EE1049">
        <w:t xml:space="preserve"> </w:t>
      </w:r>
      <w:r w:rsidRPr="00EE1049">
        <w:rPr>
          <w:lang w:val="da-DK"/>
        </w:rPr>
        <w:t>lov</w:t>
      </w:r>
      <w:r w:rsidRPr="00EE1049">
        <w:t xml:space="preserve"> om </w:t>
      </w:r>
      <w:r w:rsidRPr="00EE1049">
        <w:rPr>
          <w:lang w:val="da-DK"/>
        </w:rPr>
        <w:t>folkeskolen</w:t>
      </w:r>
      <w:r w:rsidRPr="00EE1049">
        <w:t>, "la loi de 1970"), l</w:t>
      </w:r>
      <w:r w:rsidR="003848D0">
        <w:t>’</w:t>
      </w:r>
      <w:r w:rsidRPr="00EE1049">
        <w:t>a</w:t>
      </w:r>
      <w:r w:rsidR="00EE1049">
        <w:t xml:space="preserve"> </w:t>
      </w:r>
      <w:r>
        <w:t>introduite dans les écoles primaires publiques du Danemark.</w:t>
      </w:r>
    </w:p>
    <w:p w:rsidR="003206D8" w:rsidRDefault="003206D8" w:rsidP="003E65CE">
      <w:pPr>
        <w:pStyle w:val="JuPara"/>
      </w:pPr>
      <w:r>
        <w:t>L</w:t>
      </w:r>
      <w:r w:rsidR="003848D0">
        <w:t>’</w:t>
      </w:r>
      <w:r>
        <w:t>enseignement primaire en général</w:t>
      </w:r>
    </w:p>
    <w:p w:rsidR="003206D8" w:rsidRDefault="003206D8" w:rsidP="003E65CE">
      <w:pPr>
        <w:pStyle w:val="JuPara"/>
      </w:pPr>
      <w:r>
        <w:t>15.</w:t>
      </w:r>
      <w:r w:rsidR="003848D0">
        <w:t xml:space="preserve"> </w:t>
      </w:r>
      <w:r>
        <w:t>D</w:t>
      </w:r>
      <w:r w:rsidR="003848D0">
        <w:t>’</w:t>
      </w:r>
      <w:r>
        <w:t>après l</w:t>
      </w:r>
      <w:r w:rsidR="003848D0">
        <w:t>’</w:t>
      </w:r>
      <w:r>
        <w:t>article 76 de la Constit</w:t>
      </w:r>
      <w:r w:rsidR="003E65CE">
        <w:t xml:space="preserve">ution danoise, tous les enfants </w:t>
      </w:r>
      <w:r>
        <w:t>ont droit à un enseignement gratuit dans les écoles publiques</w:t>
      </w:r>
      <w:r w:rsidR="003E65CE">
        <w:t xml:space="preserve"> </w:t>
      </w:r>
      <w:r>
        <w:t>(</w:t>
      </w:r>
      <w:r w:rsidRPr="003E65CE">
        <w:rPr>
          <w:lang w:val="da-DK"/>
        </w:rPr>
        <w:t>folkeskolen</w:t>
      </w:r>
      <w:r>
        <w:t>), mais les parents ne sont pas tenus de les y inscrire:</w:t>
      </w:r>
      <w:r w:rsidR="003E65CE">
        <w:t xml:space="preserve"> </w:t>
      </w:r>
      <w:r>
        <w:t>ils peuvent les envoyer dans un établissement privé ou les faire</w:t>
      </w:r>
      <w:r w:rsidR="003E65CE">
        <w:t xml:space="preserve"> </w:t>
      </w:r>
      <w:r>
        <w:t>instruire chez eux.</w:t>
      </w:r>
    </w:p>
    <w:p w:rsidR="003206D8" w:rsidRDefault="003206D8" w:rsidP="00783F30">
      <w:pPr>
        <w:pStyle w:val="JuPara"/>
      </w:pPr>
      <w:r>
        <w:t>Pendant l</w:t>
      </w:r>
      <w:r w:rsidR="003848D0">
        <w:t>’</w:t>
      </w:r>
      <w:r>
        <w:t>année scolaire 1970/7</w:t>
      </w:r>
      <w:r w:rsidR="00783F30">
        <w:t xml:space="preserve">1, 716.665 élèves fréquentaient </w:t>
      </w:r>
      <w:r>
        <w:t>2.471 écoles dont 277 écoles privées groupant au total 43.689 élèves.</w:t>
      </w:r>
      <w:r w:rsidR="00783F30">
        <w:t xml:space="preserve"> </w:t>
      </w:r>
      <w:r>
        <w:t>Certains parents recouraient à l</w:t>
      </w:r>
      <w:r w:rsidR="003848D0">
        <w:t>’</w:t>
      </w:r>
      <w:r>
        <w:t>enseignement à domicile.</w:t>
      </w:r>
    </w:p>
    <w:p w:rsidR="003206D8" w:rsidRDefault="003206D8" w:rsidP="00783F30">
      <w:pPr>
        <w:pStyle w:val="JuPara"/>
      </w:pPr>
      <w:r>
        <w:t>16.</w:t>
      </w:r>
      <w:r w:rsidR="003848D0">
        <w:t xml:space="preserve"> </w:t>
      </w:r>
      <w:r>
        <w:t>A l</w:t>
      </w:r>
      <w:r w:rsidR="003848D0">
        <w:t>’</w:t>
      </w:r>
      <w:r>
        <w:t>époque des faits de la caus</w:t>
      </w:r>
      <w:r w:rsidR="00783F30">
        <w:t>e, l</w:t>
      </w:r>
      <w:r w:rsidR="003848D0">
        <w:t>’</w:t>
      </w:r>
      <w:r w:rsidR="00783F30">
        <w:t xml:space="preserve">enseignement primaire dans </w:t>
      </w:r>
      <w:r>
        <w:t>les écoles publiques était régi par la loi sur les écoles publiques</w:t>
      </w:r>
      <w:r w:rsidR="00783F30">
        <w:t xml:space="preserve"> </w:t>
      </w:r>
      <w:r>
        <w:t>(</w:t>
      </w:r>
      <w:r w:rsidRPr="00783F30">
        <w:rPr>
          <w:lang w:val="da-DK"/>
        </w:rPr>
        <w:t>lov</w:t>
      </w:r>
      <w:r>
        <w:t xml:space="preserve"> om </w:t>
      </w:r>
      <w:r w:rsidRPr="00783F30">
        <w:rPr>
          <w:lang w:val="da-DK"/>
        </w:rPr>
        <w:t>folkeskolen</w:t>
      </w:r>
      <w:r>
        <w:t>), dont le décret n</w:t>
      </w:r>
      <w:r w:rsidR="003848D0" w:rsidRPr="003848D0">
        <w:rPr>
          <w:vertAlign w:val="superscript"/>
        </w:rPr>
        <w:t>o</w:t>
      </w:r>
      <w:r>
        <w:t xml:space="preserve"> 279 du 8 juillet 1966 a</w:t>
      </w:r>
      <w:r w:rsidR="00783F30">
        <w:t xml:space="preserve"> </w:t>
      </w:r>
      <w:r>
        <w:t>reproduit le texte mis à jour et qui a été amendée à plusieurs</w:t>
      </w:r>
      <w:r w:rsidR="00783F30">
        <w:t xml:space="preserve"> </w:t>
      </w:r>
      <w:r>
        <w:t>reprises entre 1966 et 1970.</w:t>
      </w:r>
    </w:p>
    <w:p w:rsidR="003206D8" w:rsidRDefault="003206D8" w:rsidP="00D5268E">
      <w:pPr>
        <w:pStyle w:val="JuPara"/>
      </w:pPr>
      <w:r>
        <w:t>L</w:t>
      </w:r>
      <w:r w:rsidR="003848D0">
        <w:t>’</w:t>
      </w:r>
      <w:r>
        <w:t>enseignement primaire durait neu</w:t>
      </w:r>
      <w:r w:rsidR="00D5268E">
        <w:t xml:space="preserve">f ans; une dixième année, ainsi </w:t>
      </w:r>
      <w:r>
        <w:t>qu</w:t>
      </w:r>
      <w:r w:rsidR="003848D0">
        <w:t>’</w:t>
      </w:r>
      <w:r>
        <w:t>une année préscolaire pour les enfants de cinq à six ans, étaient</w:t>
      </w:r>
      <w:r w:rsidR="00D5268E">
        <w:t xml:space="preserve"> </w:t>
      </w:r>
      <w:r>
        <w:t>facultatives.</w:t>
      </w:r>
    </w:p>
    <w:p w:rsidR="003206D8" w:rsidRDefault="003206D8" w:rsidP="00D5268E">
      <w:pPr>
        <w:pStyle w:val="JuPara"/>
      </w:pPr>
      <w:r>
        <w:t>Les matières enseignées étaient pour les quatre premières classes le</w:t>
      </w:r>
      <w:r w:rsidR="00D5268E">
        <w:t xml:space="preserve"> </w:t>
      </w:r>
      <w:r>
        <w:t>danois, l</w:t>
      </w:r>
      <w:r w:rsidR="003848D0">
        <w:t>’</w:t>
      </w:r>
      <w:r>
        <w:t>écriture, l</w:t>
      </w:r>
      <w:r w:rsidR="003848D0">
        <w:t>’</w:t>
      </w:r>
      <w:r>
        <w:t>arithmétique, le christianisme (</w:t>
      </w:r>
      <w:r w:rsidRPr="00D5268E">
        <w:rPr>
          <w:lang w:val="da-DK"/>
        </w:rPr>
        <w:t>kristendomskundskab</w:t>
      </w:r>
      <w:r>
        <w:t>),</w:t>
      </w:r>
      <w:r w:rsidR="00D5268E">
        <w:t xml:space="preserve"> </w:t>
      </w:r>
      <w:r>
        <w:t>l</w:t>
      </w:r>
      <w:r w:rsidR="003848D0">
        <w:t>’</w:t>
      </w:r>
      <w:r>
        <w:t>histoire, la géographie, la biologie, l</w:t>
      </w:r>
      <w:r w:rsidR="003848D0">
        <w:t>’</w:t>
      </w:r>
      <w:r>
        <w:t>éducation physique, la</w:t>
      </w:r>
      <w:r w:rsidR="00D5268E">
        <w:t xml:space="preserve"> </w:t>
      </w:r>
      <w:r>
        <w:t>musique, les beaux-arts et les travaux manuels; s</w:t>
      </w:r>
      <w:r w:rsidR="003848D0">
        <w:t>’</w:t>
      </w:r>
      <w:r>
        <w:t>y ajoutaient</w:t>
      </w:r>
      <w:r w:rsidR="00D5268E">
        <w:t xml:space="preserve"> </w:t>
      </w:r>
      <w:r>
        <w:t>l</w:t>
      </w:r>
      <w:r w:rsidR="003848D0">
        <w:t>’</w:t>
      </w:r>
      <w:r>
        <w:t>anglais et le travail du bois dans les cinquième et sixième années,</w:t>
      </w:r>
      <w:r w:rsidR="00D5268E">
        <w:t xml:space="preserve"> </w:t>
      </w:r>
      <w:r>
        <w:t>l</w:t>
      </w:r>
      <w:r w:rsidR="003848D0">
        <w:t>’</w:t>
      </w:r>
      <w:r>
        <w:t xml:space="preserve">allemand, les </w:t>
      </w:r>
      <w:r w:rsidR="00D5268E">
        <w:t>mathématiques</w:t>
      </w:r>
      <w:r>
        <w:t>, les sciences naturelles et les arts</w:t>
      </w:r>
      <w:r w:rsidR="00D5268E">
        <w:t xml:space="preserve"> </w:t>
      </w:r>
      <w:r>
        <w:t>ménagers dans la septième.</w:t>
      </w:r>
      <w:r w:rsidR="003848D0">
        <w:t xml:space="preserve"> </w:t>
      </w:r>
      <w:r>
        <w:t>A partir de la huitième année les écoliers</w:t>
      </w:r>
      <w:r w:rsidR="00D5268E">
        <w:t xml:space="preserve"> </w:t>
      </w:r>
      <w:r>
        <w:t>pouvaient, dans une certaine mesure, choisir parmi ces cours ceux qui</w:t>
      </w:r>
      <w:r w:rsidR="00D5268E">
        <w:t xml:space="preserve"> </w:t>
      </w:r>
      <w:r>
        <w:t>avaient leur préférence.</w:t>
      </w:r>
    </w:p>
    <w:p w:rsidR="003206D8" w:rsidRDefault="003206D8" w:rsidP="00D5268E">
      <w:pPr>
        <w:pStyle w:val="JuPara"/>
      </w:pPr>
      <w:r>
        <w:t>La loi laissait au ministre de l</w:t>
      </w:r>
      <w:r w:rsidR="003848D0">
        <w:t>’</w:t>
      </w:r>
      <w:r>
        <w:t>éduc</w:t>
      </w:r>
      <w:r w:rsidR="00D5268E">
        <w:t xml:space="preserve">ation le soin de déterminer les </w:t>
      </w:r>
      <w:r>
        <w:t>objectifs de l</w:t>
      </w:r>
      <w:r w:rsidR="003848D0">
        <w:t>’</w:t>
      </w:r>
      <w:r>
        <w:t>enseignement, aux autorités scolaires locales celui</w:t>
      </w:r>
      <w:r w:rsidR="00D5268E">
        <w:t xml:space="preserve"> </w:t>
      </w:r>
      <w:r>
        <w:t>d</w:t>
      </w:r>
      <w:r w:rsidR="003848D0">
        <w:t>’</w:t>
      </w:r>
      <w:r>
        <w:t>en préciser le contenu dans les programmes d</w:t>
      </w:r>
      <w:r w:rsidR="003848D0">
        <w:t>’</w:t>
      </w:r>
      <w:r>
        <w:t>études et de fixer le</w:t>
      </w:r>
      <w:r w:rsidR="00D5268E">
        <w:t xml:space="preserve"> </w:t>
      </w:r>
      <w:r>
        <w:t>nombre de cours.</w:t>
      </w:r>
      <w:r w:rsidR="003848D0">
        <w:t xml:space="preserve"> </w:t>
      </w:r>
      <w:r>
        <w:t>Cette règle connaissait cependant deux exceptions.</w:t>
      </w:r>
      <w:r w:rsidR="00D5268E">
        <w:t xml:space="preserve"> </w:t>
      </w:r>
      <w:r>
        <w:t>D</w:t>
      </w:r>
      <w:r w:rsidR="003848D0">
        <w:t>’</w:t>
      </w:r>
      <w:r>
        <w:t>une part, l</w:t>
      </w:r>
      <w:r w:rsidR="003848D0">
        <w:t>’</w:t>
      </w:r>
      <w:r>
        <w:t>enseignement religieux devait être conforme à la</w:t>
      </w:r>
      <w:r w:rsidR="00D5268E">
        <w:t xml:space="preserve"> </w:t>
      </w:r>
      <w:r>
        <w:t>doctrine évangélique luthérienne, celle de l</w:t>
      </w:r>
      <w:r w:rsidR="003848D0">
        <w:t>’</w:t>
      </w:r>
      <w:r>
        <w:t>église nationale, mais</w:t>
      </w:r>
      <w:r w:rsidR="00D5268E">
        <w:t xml:space="preserve"> </w:t>
      </w:r>
      <w:r>
        <w:t>les enfants pouvaient en être dispensés.</w:t>
      </w:r>
      <w:r w:rsidR="003848D0">
        <w:t xml:space="preserve"> </w:t>
      </w:r>
      <w:r>
        <w:t>D</w:t>
      </w:r>
      <w:r w:rsidR="003848D0">
        <w:t>’</w:t>
      </w:r>
      <w:r>
        <w:t>autre part, le législateur</w:t>
      </w:r>
      <w:r w:rsidR="00D5268E">
        <w:t xml:space="preserve"> </w:t>
      </w:r>
      <w:r>
        <w:t>avait enjoint aux écoles d</w:t>
      </w:r>
      <w:r w:rsidR="003848D0">
        <w:t>’</w:t>
      </w:r>
      <w:r>
        <w:t>inclure dans leurs programmes d</w:t>
      </w:r>
      <w:r w:rsidR="003848D0">
        <w:t>’</w:t>
      </w:r>
      <w:r>
        <w:t>études,</w:t>
      </w:r>
      <w:r w:rsidR="00D5268E">
        <w:t xml:space="preserve"> </w:t>
      </w:r>
      <w:r>
        <w:t>souvent en liaison avec des sujets traditionnels, certaines matières</w:t>
      </w:r>
      <w:r w:rsidR="00D5268E">
        <w:t xml:space="preserve"> </w:t>
      </w:r>
      <w:r>
        <w:t>nouvelles telles que la sécurité routière, l</w:t>
      </w:r>
      <w:r w:rsidR="003848D0">
        <w:t>’</w:t>
      </w:r>
      <w:r>
        <w:t>instruction civique,</w:t>
      </w:r>
      <w:r w:rsidR="00D5268E">
        <w:t xml:space="preserve"> </w:t>
      </w:r>
      <w:r>
        <w:t>l</w:t>
      </w:r>
      <w:r w:rsidR="003848D0">
        <w:t>’</w:t>
      </w:r>
      <w:r>
        <w:t>hygiène et l</w:t>
      </w:r>
      <w:r w:rsidR="003848D0">
        <w:t>’</w:t>
      </w:r>
      <w:r>
        <w:t>éducation sexuelle.</w:t>
      </w:r>
    </w:p>
    <w:p w:rsidR="003206D8" w:rsidRDefault="003206D8" w:rsidP="00D304E8">
      <w:pPr>
        <w:pStyle w:val="JuPara"/>
      </w:pPr>
      <w:r>
        <w:t>17.</w:t>
      </w:r>
      <w:r w:rsidR="003848D0">
        <w:t xml:space="preserve"> </w:t>
      </w:r>
      <w:r>
        <w:t>L</w:t>
      </w:r>
      <w:r w:rsidR="003848D0">
        <w:t>’</w:t>
      </w:r>
      <w:r>
        <w:t>administration des écoles publ</w:t>
      </w:r>
      <w:r w:rsidR="00D304E8">
        <w:t xml:space="preserve">iques au Danemark est largement </w:t>
      </w:r>
      <w:r>
        <w:t>décentralisée.</w:t>
      </w:r>
      <w:r w:rsidR="003848D0">
        <w:t xml:space="preserve"> </w:t>
      </w:r>
      <w:r>
        <w:t>Les établissements sont dirigés par le conseil</w:t>
      </w:r>
      <w:r w:rsidR="00D304E8">
        <w:t xml:space="preserve"> </w:t>
      </w:r>
      <w:r>
        <w:t>municipal, autorité scolaire suprême dans chacune des quelque</w:t>
      </w:r>
      <w:r w:rsidR="00D304E8">
        <w:t xml:space="preserve"> </w:t>
      </w:r>
      <w:r>
        <w:t>275 communes du pays, ainsi que par une commission scolaire et un</w:t>
      </w:r>
      <w:r w:rsidR="00D304E8">
        <w:t xml:space="preserve"> </w:t>
      </w:r>
      <w:r>
        <w:t>conseil d</w:t>
      </w:r>
      <w:r w:rsidR="003848D0">
        <w:t>’</w:t>
      </w:r>
      <w:r>
        <w:t>école.</w:t>
      </w:r>
    </w:p>
    <w:p w:rsidR="003206D8" w:rsidRDefault="003206D8" w:rsidP="00D304E8">
      <w:pPr>
        <w:pStyle w:val="JuPara"/>
      </w:pPr>
      <w:r>
        <w:t>La commission scolaire (</w:t>
      </w:r>
      <w:r w:rsidRPr="00D304E8">
        <w:rPr>
          <w:lang w:val="da-DK"/>
        </w:rPr>
        <w:t>skoleko</w:t>
      </w:r>
      <w:r w:rsidR="00D304E8" w:rsidRPr="00D304E8">
        <w:rPr>
          <w:lang w:val="da-DK"/>
        </w:rPr>
        <w:t>mmissionen</w:t>
      </w:r>
      <w:r w:rsidR="00D304E8">
        <w:t xml:space="preserve">) se compose en règle </w:t>
      </w:r>
      <w:r>
        <w:t>générale de onze membres dont six sont élus par le conseil municipal</w:t>
      </w:r>
      <w:r w:rsidR="00D304E8">
        <w:t xml:space="preserve"> </w:t>
      </w:r>
      <w:r>
        <w:t>et cinq par les parents.</w:t>
      </w:r>
      <w:r w:rsidR="003848D0">
        <w:t xml:space="preserve"> </w:t>
      </w:r>
      <w:r>
        <w:t>Elle établit les programmes d</w:t>
      </w:r>
      <w:r w:rsidR="003848D0">
        <w:t>’</w:t>
      </w:r>
      <w:r>
        <w:t>études</w:t>
      </w:r>
      <w:r w:rsidR="00D304E8">
        <w:t xml:space="preserve"> </w:t>
      </w:r>
      <w:r>
        <w:t>(curricula) pour les écoles de son ressort, en consultation avec le</w:t>
      </w:r>
      <w:r w:rsidR="00D304E8">
        <w:t xml:space="preserve"> </w:t>
      </w:r>
      <w:r>
        <w:t>conseil des enseignants et dans les limites tracées par la loi.</w:t>
      </w:r>
      <w:r w:rsidR="003848D0">
        <w:t xml:space="preserve"> </w:t>
      </w:r>
      <w:r>
        <w:t>Les</w:t>
      </w:r>
      <w:r w:rsidR="00D304E8">
        <w:t xml:space="preserve"> </w:t>
      </w:r>
      <w:r>
        <w:t xml:space="preserve">programmes doivent être approuvés </w:t>
      </w:r>
      <w:r w:rsidR="00D304E8">
        <w:t>par le conseil municipal.</w:t>
      </w:r>
      <w:r w:rsidR="003848D0">
        <w:t xml:space="preserve"> </w:t>
      </w:r>
      <w:r w:rsidR="00D304E8">
        <w:t xml:space="preserve">Pour </w:t>
      </w:r>
      <w:r>
        <w:t>assister ces organes dans l</w:t>
      </w:r>
      <w:r w:rsidR="003848D0">
        <w:t>’</w:t>
      </w:r>
      <w:r>
        <w:t>accomplissement de leurs tâches, le</w:t>
      </w:r>
      <w:r w:rsidR="00D304E8">
        <w:t xml:space="preserve"> </w:t>
      </w:r>
      <w:r>
        <w:t>ministre de l</w:t>
      </w:r>
      <w:r w:rsidR="003848D0">
        <w:t>’</w:t>
      </w:r>
      <w:r>
        <w:t>éducation donne des directives que prépare la commission</w:t>
      </w:r>
      <w:r w:rsidR="00D304E8">
        <w:t xml:space="preserve"> </w:t>
      </w:r>
      <w:r>
        <w:t>des programmes des écoles publiques ("la commission des programmes"),</w:t>
      </w:r>
      <w:r w:rsidR="00D304E8">
        <w:t xml:space="preserve"> </w:t>
      </w:r>
      <w:r>
        <w:t>créée en 1958.</w:t>
      </w:r>
    </w:p>
    <w:p w:rsidR="003206D8" w:rsidRDefault="003206D8" w:rsidP="001B088B">
      <w:pPr>
        <w:pStyle w:val="JuPara"/>
      </w:pPr>
      <w:r>
        <w:t xml:space="preserve">Toute école publique a un conseil </w:t>
      </w:r>
      <w:r w:rsidR="001B088B">
        <w:t>d</w:t>
      </w:r>
      <w:r w:rsidR="003848D0">
        <w:t>’</w:t>
      </w:r>
      <w:r w:rsidR="001B088B">
        <w:t>école (</w:t>
      </w:r>
      <w:r w:rsidR="001B088B" w:rsidRPr="001B088B">
        <w:rPr>
          <w:lang w:val="da-DK"/>
        </w:rPr>
        <w:t>skolenævn</w:t>
      </w:r>
      <w:r w:rsidR="001B088B">
        <w:t xml:space="preserve">) qui compte </w:t>
      </w:r>
      <w:r>
        <w:t>trois ou cinq membres: l</w:t>
      </w:r>
      <w:r w:rsidR="003848D0">
        <w:t>’</w:t>
      </w:r>
      <w:r>
        <w:t>un d</w:t>
      </w:r>
      <w:r w:rsidR="003848D0">
        <w:t>’</w:t>
      </w:r>
      <w:r>
        <w:t>eux est élu par le conseil municipal,</w:t>
      </w:r>
      <w:r w:rsidR="001B088B">
        <w:t xml:space="preserve"> </w:t>
      </w:r>
      <w:r>
        <w:t>les deux ou quatre autres par les parents.</w:t>
      </w:r>
      <w:r w:rsidR="003848D0">
        <w:t xml:space="preserve"> </w:t>
      </w:r>
      <w:r>
        <w:t>Le conseil contrôle</w:t>
      </w:r>
      <w:r w:rsidR="001B088B">
        <w:t xml:space="preserve"> </w:t>
      </w:r>
      <w:r>
        <w:t>l</w:t>
      </w:r>
      <w:r w:rsidR="003848D0">
        <w:t>’</w:t>
      </w:r>
      <w:r>
        <w:t>école et organise la coopération entre elle et les parents.</w:t>
      </w:r>
      <w:r w:rsidR="003848D0">
        <w:t xml:space="preserve"> </w:t>
      </w:r>
      <w:r>
        <w:t>Il</w:t>
      </w:r>
      <w:r w:rsidR="001B088B">
        <w:t xml:space="preserve"> </w:t>
      </w:r>
      <w:r>
        <w:t>décide, sur recommandation du conseil des enseignants, quel matériel</w:t>
      </w:r>
      <w:r w:rsidR="001B088B">
        <w:t xml:space="preserve"> </w:t>
      </w:r>
      <w:r>
        <w:t>scolaire et notamment quels livres l</w:t>
      </w:r>
      <w:r w:rsidR="003848D0">
        <w:t>’</w:t>
      </w:r>
      <w:r>
        <w:t>école doit utiliser; il fixe en</w:t>
      </w:r>
      <w:r w:rsidR="001B088B">
        <w:t xml:space="preserve"> </w:t>
      </w:r>
      <w:r>
        <w:t>outre la distribution des cours aux professeurs.</w:t>
      </w:r>
    </w:p>
    <w:p w:rsidR="003206D8" w:rsidRDefault="003206D8" w:rsidP="001B088B">
      <w:pPr>
        <w:pStyle w:val="JuPara"/>
      </w:pPr>
      <w:r>
        <w:t>18.</w:t>
      </w:r>
      <w:r w:rsidR="003848D0">
        <w:t xml:space="preserve"> </w:t>
      </w:r>
      <w:r>
        <w:t>L</w:t>
      </w:r>
      <w:r w:rsidR="003848D0">
        <w:t>’</w:t>
      </w:r>
      <w:r>
        <w:t xml:space="preserve">enseignement primaire dans les </w:t>
      </w:r>
      <w:r w:rsidR="001B088B">
        <w:t xml:space="preserve">écoles privées ou à domicile ne </w:t>
      </w:r>
      <w:r>
        <w:t>doit pas se situer au-dessous des normes arrêtées pour les écoles</w:t>
      </w:r>
      <w:r w:rsidR="001B088B">
        <w:t xml:space="preserve"> </w:t>
      </w:r>
      <w:r>
        <w:t>publiques: il doit englober les mêmes matières obligatoires et être de</w:t>
      </w:r>
      <w:r w:rsidR="001B088B">
        <w:t xml:space="preserve"> </w:t>
      </w:r>
      <w:r>
        <w:t>qualité comparable.</w:t>
      </w:r>
      <w:r w:rsidR="003848D0">
        <w:t xml:space="preserve"> </w:t>
      </w:r>
      <w:r>
        <w:t>Si une école peut être fondée sans autorisation</w:t>
      </w:r>
      <w:r w:rsidR="001B088B">
        <w:t xml:space="preserve"> </w:t>
      </w:r>
      <w:r>
        <w:t>préalable, les commissions scolaires la contrôlent par la suite pour</w:t>
      </w:r>
      <w:r w:rsidR="001B088B">
        <w:t xml:space="preserve"> </w:t>
      </w:r>
      <w:r>
        <w:t>veiller notamment à ce que le danois, l</w:t>
      </w:r>
      <w:r w:rsidR="003848D0">
        <w:t>’</w:t>
      </w:r>
      <w:r>
        <w:t>écriture et l</w:t>
      </w:r>
      <w:r w:rsidR="003848D0">
        <w:t>’</w:t>
      </w:r>
      <w:r>
        <w:t>arithmétique y</w:t>
      </w:r>
      <w:r w:rsidR="001B088B">
        <w:t xml:space="preserve"> </w:t>
      </w:r>
      <w:r>
        <w:t>soient enseignés de façon adéquate.</w:t>
      </w:r>
      <w:r w:rsidR="003848D0">
        <w:t xml:space="preserve"> </w:t>
      </w:r>
      <w:r>
        <w:t>Il en va de même de l</w:t>
      </w:r>
      <w:r w:rsidR="003848D0">
        <w:t>’</w:t>
      </w:r>
      <w:r>
        <w:t>enseignement</w:t>
      </w:r>
      <w:r w:rsidR="001B088B">
        <w:t xml:space="preserve"> </w:t>
      </w:r>
      <w:r>
        <w:t>dispensé à la maison; si la commission</w:t>
      </w:r>
      <w:r w:rsidR="001B088B">
        <w:t xml:space="preserve"> scolaire constate deux fois de </w:t>
      </w:r>
      <w:r>
        <w:t>suite qu</w:t>
      </w:r>
      <w:r w:rsidR="003848D0">
        <w:t>’</w:t>
      </w:r>
      <w:r>
        <w:t>il n</w:t>
      </w:r>
      <w:r w:rsidR="003848D0">
        <w:t>’</w:t>
      </w:r>
      <w:r>
        <w:t>est pas satisfaisant, les parents sont tenus d</w:t>
      </w:r>
      <w:r w:rsidR="003848D0">
        <w:t>’</w:t>
      </w:r>
      <w:r>
        <w:t>envoyer</w:t>
      </w:r>
      <w:r w:rsidR="001B088B">
        <w:t xml:space="preserve"> </w:t>
      </w:r>
      <w:r>
        <w:t>l</w:t>
      </w:r>
      <w:r w:rsidR="003848D0">
        <w:t>’</w:t>
      </w:r>
      <w:r>
        <w:t>enfant à une école publique ou privée.</w:t>
      </w:r>
    </w:p>
    <w:p w:rsidR="003206D8" w:rsidRDefault="003206D8" w:rsidP="00C1341A">
      <w:pPr>
        <w:pStyle w:val="JuPara"/>
      </w:pPr>
      <w:r>
        <w:t>L</w:t>
      </w:r>
      <w:r w:rsidR="003848D0">
        <w:t>’</w:t>
      </w:r>
      <w:r w:rsidR="00C1341A">
        <w:t>État</w:t>
      </w:r>
      <w:r>
        <w:t xml:space="preserve"> subventionne les écoles </w:t>
      </w:r>
      <w:r w:rsidR="00C1341A">
        <w:t>privées à condition qu</w:t>
      </w:r>
      <w:r w:rsidR="003848D0">
        <w:t>’</w:t>
      </w:r>
      <w:r w:rsidR="00C1341A">
        <w:t xml:space="preserve">elles ne </w:t>
      </w:r>
      <w:r>
        <w:t>groupent pas moins de vingt élèves au total et de dix par classe: il</w:t>
      </w:r>
      <w:r w:rsidR="00C1341A">
        <w:t xml:space="preserve"> </w:t>
      </w:r>
      <w:r>
        <w:t>leur rembourse 85 % de leurs dépenses de fonctionnement (salaires du</w:t>
      </w:r>
      <w:r w:rsidR="00C1341A">
        <w:t xml:space="preserve"> </w:t>
      </w:r>
      <w:r>
        <w:t xml:space="preserve">directeur et des professeurs, entretien des </w:t>
      </w:r>
      <w:r w:rsidR="00C1341A">
        <w:t>installations</w:t>
      </w:r>
      <w:r>
        <w:t>, chauffage,</w:t>
      </w:r>
      <w:r w:rsidR="00C1341A">
        <w:t xml:space="preserve"> </w:t>
      </w:r>
      <w:r>
        <w:t>électricité, eau, nettoyage, assurances, etc.).</w:t>
      </w:r>
      <w:r w:rsidR="003848D0">
        <w:t xml:space="preserve"> </w:t>
      </w:r>
      <w:r>
        <w:t>Il peut en outre leur</w:t>
      </w:r>
      <w:r w:rsidR="00C1341A">
        <w:t xml:space="preserve"> </w:t>
      </w:r>
      <w:r>
        <w:t>accorder des prêts avantageux pour la construction et l</w:t>
      </w:r>
      <w:r w:rsidR="003848D0">
        <w:t>’</w:t>
      </w:r>
      <w:r>
        <w:t>amélioration</w:t>
      </w:r>
      <w:r w:rsidR="00C1341A">
        <w:t xml:space="preserve"> </w:t>
      </w:r>
      <w:r>
        <w:t>des bâtiments.</w:t>
      </w:r>
      <w:r w:rsidR="003848D0">
        <w:t xml:space="preserve"> </w:t>
      </w:r>
      <w:r>
        <w:t>Aussi les parents qui confient leurs enfants à une</w:t>
      </w:r>
      <w:r w:rsidR="00C1341A">
        <w:t xml:space="preserve"> </w:t>
      </w:r>
      <w:r>
        <w:t>école privée ne supportent-ils pas en général des frais de scolarité</w:t>
      </w:r>
      <w:r w:rsidR="00C1341A">
        <w:t xml:space="preserve"> </w:t>
      </w:r>
      <w:r>
        <w:t>supérieurs à 1.200 couronnes par enfant et par an; pendant l</w:t>
      </w:r>
      <w:r w:rsidR="003848D0">
        <w:t>’</w:t>
      </w:r>
      <w:r>
        <w:t>année</w:t>
      </w:r>
      <w:r w:rsidR="00C1341A">
        <w:t xml:space="preserve"> </w:t>
      </w:r>
      <w:r>
        <w:t>scolaire 1973/74, la moyenne de ces frais n</w:t>
      </w:r>
      <w:r w:rsidR="003848D0">
        <w:t>’</w:t>
      </w:r>
      <w:r>
        <w:t>a guère dépassé</w:t>
      </w:r>
      <w:r w:rsidR="00C1341A">
        <w:t xml:space="preserve"> </w:t>
      </w:r>
      <w:r>
        <w:t>1.050 couronnes.</w:t>
      </w:r>
      <w:r w:rsidR="003848D0">
        <w:t xml:space="preserve"> </w:t>
      </w:r>
      <w:r>
        <w:t>En ce qui concerne les frais de transport des enfants</w:t>
      </w:r>
      <w:r w:rsidR="00C1341A">
        <w:t xml:space="preserve"> </w:t>
      </w:r>
      <w:r>
        <w:t>qui fréquentent une école privée, le parlement danois a voté en mai 1976</w:t>
      </w:r>
      <w:r w:rsidR="00C1341A">
        <w:t xml:space="preserve"> </w:t>
      </w:r>
      <w:r>
        <w:t>une proposition tendant à prescrire aux communes d</w:t>
      </w:r>
      <w:r w:rsidR="003848D0">
        <w:t>’</w:t>
      </w:r>
      <w:r>
        <w:t>en assumer une</w:t>
      </w:r>
      <w:r w:rsidR="00C1341A">
        <w:t xml:space="preserve"> </w:t>
      </w:r>
      <w:r>
        <w:t>grande partie.</w:t>
      </w:r>
    </w:p>
    <w:p w:rsidR="003206D8" w:rsidRDefault="003206D8" w:rsidP="00B06B80">
      <w:pPr>
        <w:pStyle w:val="JuPara"/>
      </w:pPr>
      <w:r>
        <w:t>D</w:t>
      </w:r>
      <w:r w:rsidR="003848D0">
        <w:t>’</w:t>
      </w:r>
      <w:r>
        <w:t xml:space="preserve">après les statistiques relatives </w:t>
      </w:r>
      <w:r w:rsidR="00B06B80">
        <w:t xml:space="preserve">aux écoles privées, il existait </w:t>
      </w:r>
      <w:r>
        <w:t>pendant l</w:t>
      </w:r>
      <w:r w:rsidR="003848D0">
        <w:t>’</w:t>
      </w:r>
      <w:r>
        <w:t>année scolaire 1973/74 environ soixante-dix écoles "libres",</w:t>
      </w:r>
      <w:r w:rsidR="00B06B80">
        <w:t xml:space="preserve"> </w:t>
      </w:r>
      <w:r>
        <w:t>cent une écoles secondaires sans caractère religieux particulier,</w:t>
      </w:r>
      <w:r w:rsidR="00B06B80">
        <w:t xml:space="preserve"> </w:t>
      </w:r>
      <w:r>
        <w:t>vingt-cinq écoles catholiques, dix-neuf écoles de la minorité</w:t>
      </w:r>
      <w:r w:rsidR="00B06B80">
        <w:t xml:space="preserve"> </w:t>
      </w:r>
      <w:r>
        <w:t>allemande, dix écoles pour les membres d</w:t>
      </w:r>
      <w:r w:rsidR="003848D0">
        <w:t>’</w:t>
      </w:r>
      <w:r>
        <w:t>autres communautés</w:t>
      </w:r>
      <w:r w:rsidR="00B06B80">
        <w:t xml:space="preserve"> </w:t>
      </w:r>
      <w:r>
        <w:t>religieuses, huit écoles chrétiennes "libres" et quelque trente-cinq</w:t>
      </w:r>
      <w:r w:rsidR="00B06B80">
        <w:t xml:space="preserve"> </w:t>
      </w:r>
      <w:r>
        <w:t>écoles diverses.</w:t>
      </w:r>
    </w:p>
    <w:p w:rsidR="003206D8" w:rsidRDefault="003206D8" w:rsidP="00B06B80">
      <w:pPr>
        <w:pStyle w:val="JuPara"/>
      </w:pPr>
      <w:r>
        <w:t>Selon les requérants, ces écoles ne son</w:t>
      </w:r>
      <w:r w:rsidR="00B06B80">
        <w:t xml:space="preserve">t pas assez nombreuses et leurs </w:t>
      </w:r>
      <w:r>
        <w:t>élèves doivent souvent subir de longs déplacements pour s</w:t>
      </w:r>
      <w:r w:rsidR="003848D0">
        <w:t>’</w:t>
      </w:r>
      <w:r>
        <w:t>y rendre; de</w:t>
      </w:r>
      <w:r w:rsidR="00B06B80">
        <w:t xml:space="preserve"> </w:t>
      </w:r>
      <w:r>
        <w:t>plus, les parents désireux d</w:t>
      </w:r>
      <w:r w:rsidR="003848D0">
        <w:t>’</w:t>
      </w:r>
      <w:r>
        <w:t>envoyer leurs enfants dans une école</w:t>
      </w:r>
      <w:r w:rsidR="00B06B80">
        <w:t xml:space="preserve"> </w:t>
      </w:r>
      <w:r>
        <w:t>privée de Copenhague doivent les faire inscrire sur des listes</w:t>
      </w:r>
      <w:r w:rsidR="00B06B80">
        <w:t xml:space="preserve"> </w:t>
      </w:r>
      <w:r>
        <w:t>d</w:t>
      </w:r>
      <w:r w:rsidR="003848D0">
        <w:t>’</w:t>
      </w:r>
      <w:r>
        <w:t>attente au moins trois ans à l</w:t>
      </w:r>
      <w:r w:rsidR="003848D0">
        <w:t>’</w:t>
      </w:r>
      <w:r>
        <w:t>avance.</w:t>
      </w:r>
    </w:p>
    <w:p w:rsidR="003206D8" w:rsidRDefault="003206D8" w:rsidP="003206D8">
      <w:r>
        <w:t>L</w:t>
      </w:r>
      <w:r w:rsidR="003848D0">
        <w:t>’</w:t>
      </w:r>
      <w:r>
        <w:t>éducation sexuelle</w:t>
      </w:r>
    </w:p>
    <w:p w:rsidR="003206D8" w:rsidRDefault="003206D8" w:rsidP="00B06B80">
      <w:pPr>
        <w:pStyle w:val="JuPara"/>
      </w:pPr>
      <w:r>
        <w:t>19.</w:t>
      </w:r>
      <w:r w:rsidR="003848D0">
        <w:t xml:space="preserve"> </w:t>
      </w:r>
      <w:r>
        <w:t>Au Danemark, l</w:t>
      </w:r>
      <w:r w:rsidR="003848D0">
        <w:t>’</w:t>
      </w:r>
      <w:r>
        <w:t xml:space="preserve">éducation sexuelle </w:t>
      </w:r>
      <w:r w:rsidR="00B06B80">
        <w:t xml:space="preserve">dans les écoles publiques donne </w:t>
      </w:r>
      <w:r>
        <w:t>lieu à des discussions depuis trente-cinq ans.</w:t>
      </w:r>
      <w:r w:rsidR="003848D0">
        <w:t xml:space="preserve"> </w:t>
      </w:r>
      <w:r>
        <w:t>Dès 1945, elle fut</w:t>
      </w:r>
      <w:r w:rsidR="00B06B80">
        <w:t xml:space="preserve"> </w:t>
      </w:r>
      <w:r>
        <w:t>introduite dans les écoles publiques de Copenhague et plusieurs</w:t>
      </w:r>
      <w:r w:rsidR="00B06B80">
        <w:t xml:space="preserve"> </w:t>
      </w:r>
      <w:r>
        <w:t>établissements imitèrent cet exemple en dehors de la capitale.</w:t>
      </w:r>
      <w:r w:rsidR="00B06B80">
        <w:t xml:space="preserve"> </w:t>
      </w:r>
      <w:r>
        <w:t>Toutefois, le ministre de l</w:t>
      </w:r>
      <w:r w:rsidR="003848D0">
        <w:t>’</w:t>
      </w:r>
      <w:r>
        <w:t>éducation se prononça contre une éducation</w:t>
      </w:r>
      <w:r w:rsidR="00B06B80">
        <w:t xml:space="preserve"> </w:t>
      </w:r>
      <w:r>
        <w:t>sexuelle obligatoire quand la question fut soulevée en 1958.</w:t>
      </w:r>
    </w:p>
    <w:p w:rsidR="003206D8" w:rsidRDefault="003206D8" w:rsidP="000E2A63">
      <w:pPr>
        <w:pStyle w:val="JuPara"/>
      </w:pPr>
      <w:r>
        <w:t>En 1960, la commission des</w:t>
      </w:r>
      <w:r w:rsidR="000E2A63">
        <w:t xml:space="preserve"> programmes publia un "guide de </w:t>
      </w:r>
      <w:r>
        <w:t>l</w:t>
      </w:r>
      <w:r w:rsidR="003848D0">
        <w:t>’</w:t>
      </w:r>
      <w:r>
        <w:t>enseignement dans les écoles publiques" qui distinguait</w:t>
      </w:r>
      <w:r w:rsidR="000E2A63">
        <w:t xml:space="preserve"> </w:t>
      </w:r>
      <w:r>
        <w:t>l</w:t>
      </w:r>
      <w:r w:rsidR="003848D0">
        <w:t>’</w:t>
      </w:r>
      <w:r>
        <w:t>instruction sur la reproduction chez l</w:t>
      </w:r>
      <w:r w:rsidR="003848D0">
        <w:t>’</w:t>
      </w:r>
      <w:r>
        <w:t>homme et l</w:t>
      </w:r>
      <w:r w:rsidR="003848D0">
        <w:t>’</w:t>
      </w:r>
      <w:r>
        <w:t>instruction</w:t>
      </w:r>
      <w:r w:rsidR="000E2A63">
        <w:t xml:space="preserve"> </w:t>
      </w:r>
      <w:r>
        <w:t>sexuelle proprement dite.</w:t>
      </w:r>
      <w:r w:rsidR="003848D0">
        <w:t xml:space="preserve"> </w:t>
      </w:r>
      <w:r>
        <w:t>Elle recommandait d</w:t>
      </w:r>
      <w:r w:rsidR="003848D0">
        <w:t>’</w:t>
      </w:r>
      <w:r>
        <w:t>intégrer la première au</w:t>
      </w:r>
      <w:r w:rsidR="000E2A63">
        <w:t xml:space="preserve"> </w:t>
      </w:r>
      <w:r>
        <w:t>programme de biologie alors que la seconde resterait facultative pour</w:t>
      </w:r>
      <w:r w:rsidR="000E2A63">
        <w:t xml:space="preserve"> </w:t>
      </w:r>
      <w:r>
        <w:t xml:space="preserve">les enfants et les professeurs et </w:t>
      </w:r>
      <w:r w:rsidR="000E2A63">
        <w:t xml:space="preserve">serait assurée par un personnel </w:t>
      </w:r>
      <w:r>
        <w:t>médical.</w:t>
      </w:r>
      <w:r w:rsidR="003848D0">
        <w:t xml:space="preserve"> </w:t>
      </w:r>
      <w:r>
        <w:t>Elle conseillait en outre d</w:t>
      </w:r>
      <w:r w:rsidR="003848D0">
        <w:t>’</w:t>
      </w:r>
      <w:r>
        <w:t>élaborer des directives</w:t>
      </w:r>
      <w:r w:rsidR="000E2A63">
        <w:t xml:space="preserve"> </w:t>
      </w:r>
      <w:r>
        <w:t>destinées aux écoles et portant sur le contenu de l</w:t>
      </w:r>
      <w:r w:rsidR="003848D0">
        <w:t>’</w:t>
      </w:r>
      <w:r>
        <w:t>enseignement et</w:t>
      </w:r>
      <w:r w:rsidR="000E2A63">
        <w:t xml:space="preserve"> </w:t>
      </w:r>
      <w:r>
        <w:t>sur la terminologie à utiliser.</w:t>
      </w:r>
    </w:p>
    <w:p w:rsidR="003206D8" w:rsidRDefault="003206D8" w:rsidP="000E2A63">
      <w:pPr>
        <w:pStyle w:val="JuPara"/>
      </w:pPr>
      <w:r>
        <w:t>Par une circulaire du 8 avril 1960</w:t>
      </w:r>
      <w:r w:rsidR="000E2A63">
        <w:t>, le ministre de l</w:t>
      </w:r>
      <w:r w:rsidR="003848D0">
        <w:t>’</w:t>
      </w:r>
      <w:r w:rsidR="000E2A63">
        <w:t xml:space="preserve">éducation se </w:t>
      </w:r>
      <w:r>
        <w:t>rallia aux conclusions de la commission: dès l</w:t>
      </w:r>
      <w:r w:rsidR="003848D0">
        <w:t>’</w:t>
      </w:r>
      <w:r>
        <w:t>année scolaire 1960/61,</w:t>
      </w:r>
      <w:r w:rsidR="000E2A63">
        <w:t xml:space="preserve"> </w:t>
      </w:r>
      <w:r>
        <w:t>la reproduction chez l</w:t>
      </w:r>
      <w:r w:rsidR="003848D0">
        <w:t>’</w:t>
      </w:r>
      <w:r>
        <w:t>homme devint une partie obligatoire des leçons</w:t>
      </w:r>
      <w:r w:rsidR="000E2A63">
        <w:t xml:space="preserve"> </w:t>
      </w:r>
      <w:r>
        <w:t>de biologie tandis qu</w:t>
      </w:r>
      <w:r w:rsidR="003848D0">
        <w:t>’</w:t>
      </w:r>
      <w:r>
        <w:t>un guide officiel du ministère, datant de</w:t>
      </w:r>
      <w:r w:rsidR="000E2A63">
        <w:t xml:space="preserve"> </w:t>
      </w:r>
      <w:r>
        <w:t>septembre 1961, précisait que seuls suivraient l</w:t>
      </w:r>
      <w:r w:rsidR="003848D0">
        <w:t>’</w:t>
      </w:r>
      <w:r>
        <w:t>instruction sexuelle</w:t>
      </w:r>
      <w:r w:rsidR="000E2A63">
        <w:t xml:space="preserve"> </w:t>
      </w:r>
      <w:r>
        <w:t>proprement dite les enfants dont les parents y auraient expressément</w:t>
      </w:r>
      <w:r w:rsidR="000E2A63">
        <w:t xml:space="preserve"> </w:t>
      </w:r>
      <w:r>
        <w:t>consenti.</w:t>
      </w:r>
    </w:p>
    <w:p w:rsidR="003206D8" w:rsidRDefault="003206D8" w:rsidP="000E2A63">
      <w:pPr>
        <w:pStyle w:val="JuPara"/>
      </w:pPr>
      <w:r>
        <w:t>20.</w:t>
      </w:r>
      <w:r w:rsidR="003848D0">
        <w:t xml:space="preserve"> </w:t>
      </w:r>
      <w:r>
        <w:t>Préoccupé par la fréquence croissan</w:t>
      </w:r>
      <w:r w:rsidR="000E2A63">
        <w:t xml:space="preserve">te des grossesses non désirées </w:t>
      </w:r>
      <w:r>
        <w:t>et soucieux de la réduire, le gouvernement danois chargea en 1961 une</w:t>
      </w:r>
      <w:r w:rsidR="000E2A63">
        <w:t xml:space="preserve"> </w:t>
      </w:r>
      <w:r>
        <w:t>commission d</w:t>
      </w:r>
      <w:r w:rsidR="003848D0">
        <w:t>’</w:t>
      </w:r>
      <w:r>
        <w:t>examiner le problème de l</w:t>
      </w:r>
      <w:r w:rsidR="003848D0">
        <w:t>’</w:t>
      </w:r>
      <w:r>
        <w:t>éducation sexuelle</w:t>
      </w:r>
      <w:r w:rsidR="000E2A63">
        <w:t xml:space="preserve"> </w:t>
      </w:r>
      <w:r>
        <w:t>(</w:t>
      </w:r>
      <w:r w:rsidRPr="000E2A63">
        <w:rPr>
          <w:lang w:val="da-DK"/>
        </w:rPr>
        <w:t>Seksualoplysningsudvalget</w:t>
      </w:r>
      <w:r>
        <w:t>).</w:t>
      </w:r>
      <w:r w:rsidR="003848D0">
        <w:t xml:space="preserve"> </w:t>
      </w:r>
      <w:r>
        <w:t>L</w:t>
      </w:r>
      <w:r w:rsidR="003848D0">
        <w:t>’</w:t>
      </w:r>
      <w:r>
        <w:t>institution d</w:t>
      </w:r>
      <w:r w:rsidR="003848D0">
        <w:t>’</w:t>
      </w:r>
      <w:r>
        <w:t>une telle commission</w:t>
      </w:r>
      <w:r w:rsidR="000E2A63">
        <w:t xml:space="preserve"> </w:t>
      </w:r>
      <w:r>
        <w:t>avait été préconisée notamment par le Conseil national des femmes</w:t>
      </w:r>
      <w:r w:rsidR="000E2A63">
        <w:t xml:space="preserve"> </w:t>
      </w:r>
      <w:r>
        <w:t>danoises (</w:t>
      </w:r>
      <w:r w:rsidRPr="000E2A63">
        <w:rPr>
          <w:lang w:val="da-DK"/>
        </w:rPr>
        <w:t>Danske</w:t>
      </w:r>
      <w:r>
        <w:t xml:space="preserve"> </w:t>
      </w:r>
      <w:r w:rsidRPr="000E2A63">
        <w:rPr>
          <w:lang w:val="da-DK"/>
        </w:rPr>
        <w:t>Kvinders</w:t>
      </w:r>
      <w:r>
        <w:t xml:space="preserve"> </w:t>
      </w:r>
      <w:r w:rsidR="000E2A63" w:rsidRPr="000E2A63">
        <w:rPr>
          <w:lang w:val="da-DK"/>
        </w:rPr>
        <w:t>Nationalråd</w:t>
      </w:r>
      <w:r w:rsidR="000E2A63">
        <w:t xml:space="preserve">) que présidait Mme </w:t>
      </w:r>
      <w:r w:rsidR="000E2A63" w:rsidRPr="000E2A63">
        <w:rPr>
          <w:lang w:val="da-DK"/>
        </w:rPr>
        <w:t>Else-Merete</w:t>
      </w:r>
      <w:r w:rsidR="000E2A63">
        <w:t xml:space="preserve"> </w:t>
      </w:r>
      <w:r>
        <w:t>Ross,</w:t>
      </w:r>
      <w:r w:rsidR="000E2A63">
        <w:t xml:space="preserve"> </w:t>
      </w:r>
      <w:r>
        <w:t>membre du parlement, et par les comités de direction des institutions</w:t>
      </w:r>
      <w:r w:rsidR="000E2A63">
        <w:t xml:space="preserve"> </w:t>
      </w:r>
      <w:r>
        <w:t>pour l</w:t>
      </w:r>
      <w:r w:rsidR="003848D0">
        <w:t>’</w:t>
      </w:r>
      <w:r>
        <w:t>aide aux mères (</w:t>
      </w:r>
      <w:r w:rsidR="000E2A63" w:rsidRPr="000E2A63">
        <w:rPr>
          <w:lang w:val="da-DK"/>
        </w:rPr>
        <w:t>Mødrehjælpsinstitutionernes</w:t>
      </w:r>
      <w:r>
        <w:t xml:space="preserve"> </w:t>
      </w:r>
      <w:r w:rsidRPr="000E2A63">
        <w:rPr>
          <w:lang w:val="da-DK"/>
        </w:rPr>
        <w:t>Bestyrelse</w:t>
      </w:r>
      <w:r>
        <w:t>).</w:t>
      </w:r>
      <w:r w:rsidR="003848D0">
        <w:t xml:space="preserve"> </w:t>
      </w:r>
      <w:r>
        <w:t>Ces</w:t>
      </w:r>
      <w:r w:rsidR="000E2A63">
        <w:t xml:space="preserve"> </w:t>
      </w:r>
      <w:r>
        <w:t>derniers recevaient chaque année des demandes d</w:t>
      </w:r>
      <w:r w:rsidR="003848D0">
        <w:t>’</w:t>
      </w:r>
      <w:r>
        <w:t>assistance d</w:t>
      </w:r>
      <w:r w:rsidR="003848D0">
        <w:t>’</w:t>
      </w:r>
      <w:r>
        <w:t>à peu</w:t>
      </w:r>
      <w:r w:rsidR="000E2A63">
        <w:t xml:space="preserve"> </w:t>
      </w:r>
      <w:r>
        <w:t>près 6.000 jeunes mères célibataires dont la moitié avaient moins de</w:t>
      </w:r>
      <w:r w:rsidR="000E2A63">
        <w:t xml:space="preserve"> </w:t>
      </w:r>
      <w:r>
        <w:t>vingt ans et le quart moins de dix-sept.</w:t>
      </w:r>
      <w:r w:rsidR="003848D0">
        <w:t xml:space="preserve"> </w:t>
      </w:r>
      <w:r>
        <w:t>D</w:t>
      </w:r>
      <w:r w:rsidR="003848D0">
        <w:t>’</w:t>
      </w:r>
      <w:r>
        <w:t>autre part, beaucoup</w:t>
      </w:r>
      <w:r w:rsidR="000E2A63">
        <w:t xml:space="preserve"> </w:t>
      </w:r>
      <w:r>
        <w:t>d</w:t>
      </w:r>
      <w:r w:rsidR="003848D0">
        <w:t>’</w:t>
      </w:r>
      <w:r>
        <w:t>enfants de parents souvent très jeunes naissaient dans les neuf</w:t>
      </w:r>
      <w:r w:rsidR="000E2A63">
        <w:t xml:space="preserve"> </w:t>
      </w:r>
      <w:r>
        <w:t>premiers mois du mariage.</w:t>
      </w:r>
      <w:r w:rsidR="003848D0">
        <w:t xml:space="preserve"> </w:t>
      </w:r>
      <w:r>
        <w:t>De leur côté, les avortements légaux se</w:t>
      </w:r>
      <w:r w:rsidR="000E2A63">
        <w:t xml:space="preserve"> </w:t>
      </w:r>
      <w:r>
        <w:t>chiffraient à 4.000 environ par an et les avortements illégaux,</w:t>
      </w:r>
      <w:r w:rsidR="000E2A63">
        <w:t xml:space="preserve"> </w:t>
      </w:r>
      <w:r>
        <w:t>d</w:t>
      </w:r>
      <w:r w:rsidR="003848D0">
        <w:t>’</w:t>
      </w:r>
      <w:r>
        <w:t>après les estimations des experts, à 15.000 tandis que l</w:t>
      </w:r>
      <w:r w:rsidR="003848D0">
        <w:t>’</w:t>
      </w:r>
      <w:r>
        <w:t>on</w:t>
      </w:r>
      <w:r w:rsidR="000E2A63">
        <w:t xml:space="preserve"> </w:t>
      </w:r>
      <w:r>
        <w:t>n</w:t>
      </w:r>
      <w:r w:rsidR="003848D0">
        <w:t>’</w:t>
      </w:r>
      <w:r>
        <w:t>enregistrait guère plus de 70.000 naissances.</w:t>
      </w:r>
    </w:p>
    <w:p w:rsidR="003206D8" w:rsidRDefault="003206D8" w:rsidP="00AF03B0">
      <w:pPr>
        <w:pStyle w:val="JuPara"/>
      </w:pPr>
      <w:r>
        <w:t>21.</w:t>
      </w:r>
      <w:r w:rsidR="003848D0">
        <w:t xml:space="preserve"> </w:t>
      </w:r>
      <w:r>
        <w:t>Après une étude approfo</w:t>
      </w:r>
      <w:r w:rsidR="00AF03B0">
        <w:t xml:space="preserve">ndie du problème, la commission </w:t>
      </w:r>
      <w:r>
        <w:t>susmentionnée, composée de médecins, pédagogues, juristes, théologiens</w:t>
      </w:r>
      <w:r w:rsidR="00AF03B0">
        <w:t xml:space="preserve"> </w:t>
      </w:r>
      <w:r>
        <w:t>et experts gouvernementaux, présenta en 1968 un rapport (n</w:t>
      </w:r>
      <w:r w:rsidR="003848D0" w:rsidRPr="003848D0">
        <w:rPr>
          <w:vertAlign w:val="superscript"/>
        </w:rPr>
        <w:t>o</w:t>
      </w:r>
      <w:r>
        <w:t xml:space="preserve"> 484)</w:t>
      </w:r>
      <w:r w:rsidR="00AF03B0">
        <w:t xml:space="preserve"> </w:t>
      </w:r>
      <w:r>
        <w:t>intitulé "L</w:t>
      </w:r>
      <w:r w:rsidR="003848D0">
        <w:t>’</w:t>
      </w:r>
      <w:r>
        <w:t>éducation sexuelle dans les écoles publiques"</w:t>
      </w:r>
      <w:r w:rsidR="00AF03B0">
        <w:t xml:space="preserve"> </w:t>
      </w:r>
      <w:r w:rsidRPr="00AF03B0">
        <w:t>(</w:t>
      </w:r>
      <w:r w:rsidRPr="00AF03B0">
        <w:rPr>
          <w:lang w:val="da-DK"/>
        </w:rPr>
        <w:t>Seksualundervisning</w:t>
      </w:r>
      <w:r w:rsidRPr="00AF03B0">
        <w:t xml:space="preserve"> i </w:t>
      </w:r>
      <w:r w:rsidRPr="00AF03B0">
        <w:rPr>
          <w:lang w:val="da-DK"/>
        </w:rPr>
        <w:t>Folkeskolen</w:t>
      </w:r>
      <w:r w:rsidRPr="00AF03B0">
        <w:t xml:space="preserve">, </w:t>
      </w:r>
      <w:r w:rsidR="00AF03B0" w:rsidRPr="00AF03B0">
        <w:rPr>
          <w:lang w:val="da-DK"/>
        </w:rPr>
        <w:t>betænkning</w:t>
      </w:r>
      <w:r w:rsidRPr="00AF03B0">
        <w:t xml:space="preserve"> Nr. 484).</w:t>
      </w:r>
      <w:r w:rsidR="003848D0">
        <w:t xml:space="preserve"> </w:t>
      </w:r>
      <w:r>
        <w:t>Elle y</w:t>
      </w:r>
      <w:r w:rsidR="00AF03B0">
        <w:t xml:space="preserve"> </w:t>
      </w:r>
      <w:r>
        <w:t>recommandait, s</w:t>
      </w:r>
      <w:r w:rsidR="003848D0">
        <w:t>’</w:t>
      </w:r>
      <w:r>
        <w:t>inspirant à cet égard du système en vigueur en Suède</w:t>
      </w:r>
      <w:r w:rsidR="00AF03B0">
        <w:t xml:space="preserve"> </w:t>
      </w:r>
      <w:r>
        <w:t>depuis quelques années, d</w:t>
      </w:r>
      <w:r w:rsidR="003848D0">
        <w:t>’</w:t>
      </w:r>
      <w:r>
        <w:t>intégrer l</w:t>
      </w:r>
      <w:r w:rsidR="003848D0">
        <w:t>’</w:t>
      </w:r>
      <w:r>
        <w:t>éducation sexuelle dans les</w:t>
      </w:r>
      <w:r w:rsidR="00AF03B0">
        <w:t xml:space="preserve"> </w:t>
      </w:r>
      <w:r>
        <w:t>matières obligatoires des programmes d</w:t>
      </w:r>
      <w:r w:rsidR="003848D0">
        <w:t>’</w:t>
      </w:r>
      <w:r>
        <w:t>études des écoles publiques.</w:t>
      </w:r>
      <w:r w:rsidR="00AF03B0">
        <w:t xml:space="preserve"> </w:t>
      </w:r>
      <w:r>
        <w:t>Toutefois, les professeurs ne devaient pas être obligés de participer</w:t>
      </w:r>
      <w:r w:rsidR="00AF03B0">
        <w:t xml:space="preserve"> </w:t>
      </w:r>
      <w:r>
        <w:t>à cet enseignement.</w:t>
      </w:r>
    </w:p>
    <w:p w:rsidR="003206D8" w:rsidRDefault="003206D8" w:rsidP="009005BA">
      <w:pPr>
        <w:pStyle w:val="JuPara"/>
      </w:pPr>
      <w:r>
        <w:t>Le rapport partait de l</w:t>
      </w:r>
      <w:r w:rsidR="003848D0">
        <w:t>’</w:t>
      </w:r>
      <w:r>
        <w:t>idée qu</w:t>
      </w:r>
      <w:r w:rsidR="003848D0">
        <w:t>’</w:t>
      </w:r>
      <w:r>
        <w:t>il im</w:t>
      </w:r>
      <w:r w:rsidR="009005BA">
        <w:t>portait d</w:t>
      </w:r>
      <w:r w:rsidR="003848D0">
        <w:t>’</w:t>
      </w:r>
      <w:r w:rsidR="009005BA">
        <w:t>adapter l</w:t>
      </w:r>
      <w:r w:rsidR="003848D0">
        <w:t>’</w:t>
      </w:r>
      <w:r w:rsidR="009005BA">
        <w:t xml:space="preserve">instruction </w:t>
      </w:r>
      <w:r>
        <w:t>sexuelle aux différents degrés de maturité des enfants et de la</w:t>
      </w:r>
      <w:r w:rsidR="009005BA">
        <w:t xml:space="preserve"> </w:t>
      </w:r>
      <w:r>
        <w:t>dispenser en liaison naturelle avec d</w:t>
      </w:r>
      <w:r w:rsidR="003848D0">
        <w:t>’</w:t>
      </w:r>
      <w:r>
        <w:t>autres sujets, notamment lorsque</w:t>
      </w:r>
      <w:r w:rsidR="009005BA">
        <w:t xml:space="preserve"> </w:t>
      </w:r>
      <w:r>
        <w:t>les questions des enfants en donneraient l</w:t>
      </w:r>
      <w:r w:rsidR="003848D0">
        <w:t>’</w:t>
      </w:r>
      <w:r>
        <w:t>occasion.</w:t>
      </w:r>
      <w:r w:rsidR="003848D0">
        <w:t xml:space="preserve"> </w:t>
      </w:r>
      <w:r>
        <w:t>Cette méthode</w:t>
      </w:r>
      <w:r w:rsidR="009005BA">
        <w:t xml:space="preserve"> </w:t>
      </w:r>
      <w:r>
        <w:t>paraissait à la commission particulièrement propre à éviter que cet</w:t>
      </w:r>
      <w:r w:rsidR="009005BA">
        <w:t xml:space="preserve"> </w:t>
      </w:r>
      <w:r>
        <w:t>enseignement ne prît un caractère délicat et spéculatif.</w:t>
      </w:r>
      <w:r w:rsidR="003848D0">
        <w:t xml:space="preserve"> </w:t>
      </w:r>
      <w:r>
        <w:t>Le rapport</w:t>
      </w:r>
      <w:r w:rsidR="009005BA">
        <w:t xml:space="preserve"> </w:t>
      </w:r>
      <w:r>
        <w:t>soulignait que l</w:t>
      </w:r>
      <w:r w:rsidR="003848D0">
        <w:t>’</w:t>
      </w:r>
      <w:r>
        <w:t>instruction en la matière devait revêtir la forme de</w:t>
      </w:r>
      <w:r w:rsidR="009005BA">
        <w:t xml:space="preserve"> </w:t>
      </w:r>
      <w:r>
        <w:t>discussions et dialogues entre professeurs et élèves.</w:t>
      </w:r>
      <w:r w:rsidR="003848D0">
        <w:t xml:space="preserve"> </w:t>
      </w:r>
      <w:r>
        <w:t>Il donnait</w:t>
      </w:r>
      <w:r w:rsidR="009005BA">
        <w:t xml:space="preserve"> </w:t>
      </w:r>
      <w:r>
        <w:t>finalement certaines indications relatives au contenu de l</w:t>
      </w:r>
      <w:r w:rsidR="003848D0">
        <w:t>’</w:t>
      </w:r>
      <w:r>
        <w:t>enseignement</w:t>
      </w:r>
      <w:r w:rsidR="009005BA">
        <w:t xml:space="preserve"> </w:t>
      </w:r>
      <w:r>
        <w:t>sexuel et préconisait l</w:t>
      </w:r>
      <w:r w:rsidR="003848D0">
        <w:t>’</w:t>
      </w:r>
      <w:r>
        <w:t>élaboration de nouvelles directives pour les</w:t>
      </w:r>
      <w:r w:rsidR="009005BA">
        <w:t xml:space="preserve"> </w:t>
      </w:r>
      <w:r>
        <w:t>écoles publiques.</w:t>
      </w:r>
    </w:p>
    <w:p w:rsidR="003206D8" w:rsidRDefault="003206D8" w:rsidP="004615FA">
      <w:pPr>
        <w:pStyle w:val="JuPara"/>
      </w:pPr>
      <w:r>
        <w:t>22.</w:t>
      </w:r>
      <w:r w:rsidR="003848D0">
        <w:t xml:space="preserve"> </w:t>
      </w:r>
      <w:r>
        <w:t>En mars 1970, le ministre de l</w:t>
      </w:r>
      <w:r w:rsidR="003848D0">
        <w:t>’</w:t>
      </w:r>
      <w:r>
        <w:t>édu</w:t>
      </w:r>
      <w:r w:rsidR="004615FA">
        <w:t>cation saisit le parlement d</w:t>
      </w:r>
      <w:r w:rsidR="003848D0">
        <w:t>’</w:t>
      </w:r>
      <w:r w:rsidR="004615FA">
        <w:t xml:space="preserve">un </w:t>
      </w:r>
      <w:r>
        <w:t>projet de loi visant à modifier la loi sur les écoles publiques.</w:t>
      </w:r>
      <w:r w:rsidR="003848D0">
        <w:t xml:space="preserve"> </w:t>
      </w:r>
      <w:r>
        <w:t>Le</w:t>
      </w:r>
      <w:r w:rsidR="004615FA">
        <w:t xml:space="preserve"> </w:t>
      </w:r>
      <w:r>
        <w:t>projet tendait entre autres à rendre obligatoire l</w:t>
      </w:r>
      <w:r w:rsidR="003848D0">
        <w:t>’</w:t>
      </w:r>
      <w:r>
        <w:t>éducation sexuelle</w:t>
      </w:r>
      <w:r w:rsidR="004615FA">
        <w:t xml:space="preserve"> </w:t>
      </w:r>
      <w:r>
        <w:t>et à l</w:t>
      </w:r>
      <w:r w:rsidR="003848D0">
        <w:t>’</w:t>
      </w:r>
      <w:r>
        <w:t>intégrer à l</w:t>
      </w:r>
      <w:r w:rsidR="003848D0">
        <w:t>’</w:t>
      </w:r>
      <w:r>
        <w:t>enseignement général des écoles primaires</w:t>
      </w:r>
      <w:r w:rsidR="004615FA">
        <w:t xml:space="preserve"> </w:t>
      </w:r>
      <w:r>
        <w:t>publiques.</w:t>
      </w:r>
      <w:r w:rsidR="003848D0">
        <w:t xml:space="preserve"> </w:t>
      </w:r>
      <w:r>
        <w:t>Il se fondait à cet égard sur les recommandations de la</w:t>
      </w:r>
      <w:r w:rsidR="004615FA">
        <w:t xml:space="preserve"> </w:t>
      </w:r>
      <w:r>
        <w:t>commission de l</w:t>
      </w:r>
      <w:r w:rsidR="003848D0">
        <w:t>’</w:t>
      </w:r>
      <w:r>
        <w:t>éducation sexuelle, mais s</w:t>
      </w:r>
      <w:r w:rsidR="003848D0">
        <w:t>’</w:t>
      </w:r>
      <w:r>
        <w:t>en écartait sur un point: à</w:t>
      </w:r>
      <w:r w:rsidR="004615FA">
        <w:t xml:space="preserve"> </w:t>
      </w:r>
      <w:r>
        <w:t>la suite d</w:t>
      </w:r>
      <w:r w:rsidR="003848D0">
        <w:t>’</w:t>
      </w:r>
      <w:r>
        <w:t>une déclaration de l</w:t>
      </w:r>
      <w:r w:rsidR="003848D0">
        <w:t>’</w:t>
      </w:r>
      <w:r>
        <w:t>Association nationale des enseignants,</w:t>
      </w:r>
      <w:r w:rsidR="004615FA">
        <w:t xml:space="preserve"> </w:t>
      </w:r>
      <w:r>
        <w:t>il n</w:t>
      </w:r>
      <w:r w:rsidR="003848D0">
        <w:t>’</w:t>
      </w:r>
      <w:r>
        <w:t>accordait pas aux professeurs un droit général d</w:t>
      </w:r>
      <w:r w:rsidR="003848D0">
        <w:t>’</w:t>
      </w:r>
      <w:r>
        <w:t>être dispensés</w:t>
      </w:r>
      <w:r w:rsidR="004615FA">
        <w:t xml:space="preserve"> </w:t>
      </w:r>
      <w:r>
        <w:t>de contribuer à cet enseignement.</w:t>
      </w:r>
    </w:p>
    <w:p w:rsidR="003206D8" w:rsidRDefault="003206D8" w:rsidP="004615FA">
      <w:pPr>
        <w:pStyle w:val="JuPara"/>
      </w:pPr>
      <w:r>
        <w:t>Le projet avait reçu l</w:t>
      </w:r>
      <w:r w:rsidR="003848D0">
        <w:t>’</w:t>
      </w:r>
      <w:r>
        <w:t>appui non seule</w:t>
      </w:r>
      <w:r w:rsidR="004615FA">
        <w:t xml:space="preserve">ment de cette association, mais </w:t>
      </w:r>
      <w:r>
        <w:t>aussi de l</w:t>
      </w:r>
      <w:r w:rsidR="003848D0">
        <w:t>’</w:t>
      </w:r>
      <w:r>
        <w:t>Association nationale de l</w:t>
      </w:r>
      <w:r w:rsidR="003848D0">
        <w:t>’</w:t>
      </w:r>
      <w:r>
        <w:t>école et de la société qui</w:t>
      </w:r>
      <w:r w:rsidR="004615FA">
        <w:t xml:space="preserve"> </w:t>
      </w:r>
      <w:r>
        <w:t>représente, sur le plan national, des comités d</w:t>
      </w:r>
      <w:r w:rsidR="003848D0">
        <w:t>’</w:t>
      </w:r>
      <w:r>
        <w:t>éducation, des</w:t>
      </w:r>
      <w:r w:rsidR="004615FA">
        <w:t xml:space="preserve"> </w:t>
      </w:r>
      <w:r>
        <w:t>conseils d</w:t>
      </w:r>
      <w:r w:rsidR="003848D0">
        <w:t>’</w:t>
      </w:r>
      <w:r>
        <w:t>école et des associations de parents, ainsi que de</w:t>
      </w:r>
      <w:r w:rsidR="004615FA">
        <w:t xml:space="preserve"> </w:t>
      </w:r>
      <w:r>
        <w:t>l</w:t>
      </w:r>
      <w:r w:rsidR="003848D0">
        <w:t>’</w:t>
      </w:r>
      <w:r>
        <w:t>Association nationale des conseils municipaux.</w:t>
      </w:r>
    </w:p>
    <w:p w:rsidR="003206D8" w:rsidRDefault="003206D8" w:rsidP="004615FA">
      <w:pPr>
        <w:pStyle w:val="JuPara"/>
      </w:pPr>
      <w:r>
        <w:t>Votée à l</w:t>
      </w:r>
      <w:r w:rsidR="003848D0">
        <w:t>’</w:t>
      </w:r>
      <w:r>
        <w:t>unanimité par le parlement e</w:t>
      </w:r>
      <w:r w:rsidR="004615FA">
        <w:t xml:space="preserve">t promulguée le 27 mai 1970, la </w:t>
      </w:r>
      <w:r>
        <w:t>loi de 1970 ajoutait, en son article 1 par. 25, "l</w:t>
      </w:r>
      <w:r w:rsidR="003848D0">
        <w:t>’</w:t>
      </w:r>
      <w:r>
        <w:t>organisation des</w:t>
      </w:r>
      <w:r w:rsidR="004615FA">
        <w:t xml:space="preserve"> </w:t>
      </w:r>
      <w:r>
        <w:t>bibliothèques et l</w:t>
      </w:r>
      <w:r w:rsidR="003848D0">
        <w:t>’</w:t>
      </w:r>
      <w:r>
        <w:t>éducation sexuelle" à la liste des matières à</w:t>
      </w:r>
      <w:r w:rsidR="004615FA">
        <w:t xml:space="preserve"> </w:t>
      </w:r>
      <w:r>
        <w:t>enseigner, figurant à l</w:t>
      </w:r>
      <w:r w:rsidR="003848D0">
        <w:t>’</w:t>
      </w:r>
      <w:r>
        <w:t>article 17 par. 6 de la loi sur les écoles</w:t>
      </w:r>
      <w:r w:rsidR="004615FA">
        <w:t xml:space="preserve"> </w:t>
      </w:r>
      <w:r>
        <w:t>publiques.</w:t>
      </w:r>
      <w:r w:rsidR="003848D0">
        <w:t xml:space="preserve"> </w:t>
      </w:r>
      <w:r>
        <w:t>En conséquence, ce dernier texte se lisait désormais ainsi</w:t>
      </w:r>
      <w:r w:rsidR="004615FA">
        <w:t xml:space="preserve"> </w:t>
      </w:r>
      <w:r>
        <w:t>(</w:t>
      </w:r>
      <w:r w:rsidRPr="004615FA">
        <w:rPr>
          <w:lang w:val="da-DK"/>
        </w:rPr>
        <w:t>bekendtgørelse</w:t>
      </w:r>
      <w:r>
        <w:t xml:space="preserve"> n</w:t>
      </w:r>
      <w:r w:rsidR="003848D0" w:rsidRPr="003848D0">
        <w:rPr>
          <w:vertAlign w:val="superscript"/>
        </w:rPr>
        <w:t>o</w:t>
      </w:r>
      <w:r>
        <w:t xml:space="preserve"> 300 du 12 juin 1970):</w:t>
      </w:r>
    </w:p>
    <w:p w:rsidR="003206D8" w:rsidRDefault="003206D8" w:rsidP="004615FA">
      <w:pPr>
        <w:pStyle w:val="JuQuot"/>
      </w:pPr>
      <w:r>
        <w:t xml:space="preserve">"Outre les dispositions qui précèdent, </w:t>
      </w:r>
      <w:r w:rsidR="004615FA">
        <w:t xml:space="preserve">ce qui suit vaut également pour </w:t>
      </w:r>
      <w:r>
        <w:t>l</w:t>
      </w:r>
      <w:r w:rsidR="003848D0">
        <w:t>’</w:t>
      </w:r>
      <w:r>
        <w:t>enseignement dispensé à l</w:t>
      </w:r>
      <w:r w:rsidR="003848D0">
        <w:t>’</w:t>
      </w:r>
      <w:r>
        <w:t>école primaire:</w:t>
      </w:r>
    </w:p>
    <w:p w:rsidR="003206D8" w:rsidRDefault="003206D8" w:rsidP="004615FA">
      <w:pPr>
        <w:pStyle w:val="JuQuot"/>
      </w:pPr>
      <w:r>
        <w:t>la circulation, l</w:t>
      </w:r>
      <w:r w:rsidR="003848D0">
        <w:t>’</w:t>
      </w:r>
      <w:r>
        <w:t>organisation d</w:t>
      </w:r>
      <w:r w:rsidR="004615FA">
        <w:t>es bibliothèques et l</w:t>
      </w:r>
      <w:r w:rsidR="003848D0">
        <w:t>’</w:t>
      </w:r>
      <w:r w:rsidR="004615FA">
        <w:t xml:space="preserve">éducation </w:t>
      </w:r>
      <w:r>
        <w:t>sexuelle font partie intégrante de l</w:t>
      </w:r>
      <w:r w:rsidR="003848D0">
        <w:t>’</w:t>
      </w:r>
      <w:r>
        <w:t>enseignement selon les modalités</w:t>
      </w:r>
      <w:r w:rsidR="004615FA">
        <w:t xml:space="preserve"> </w:t>
      </w:r>
      <w:r>
        <w:t>fixées par le ministre de l</w:t>
      </w:r>
      <w:r w:rsidR="003848D0">
        <w:t>’</w:t>
      </w:r>
      <w:r>
        <w:t>éducation.</w:t>
      </w:r>
    </w:p>
    <w:p w:rsidR="003206D8" w:rsidRDefault="003206D8" w:rsidP="004615FA">
      <w:pPr>
        <w:pStyle w:val="JuQuot"/>
      </w:pPr>
      <w:r>
        <w:t>(...)."</w:t>
      </w:r>
    </w:p>
    <w:p w:rsidR="003206D8" w:rsidRDefault="003206D8" w:rsidP="004A3482">
      <w:pPr>
        <w:pStyle w:val="JuPara"/>
      </w:pPr>
      <w:r>
        <w:t xml:space="preserve">La loi entra en vigueur le 1er </w:t>
      </w:r>
      <w:r w:rsidR="004A3482">
        <w:t>août 1970.</w:t>
      </w:r>
      <w:r w:rsidR="003848D0">
        <w:t xml:space="preserve"> </w:t>
      </w:r>
      <w:r w:rsidR="004A3482">
        <w:t xml:space="preserve">Dès le 25 juin, une </w:t>
      </w:r>
      <w:r>
        <w:t>circulaire du ministre de l</w:t>
      </w:r>
      <w:r w:rsidR="003848D0">
        <w:t>’</w:t>
      </w:r>
      <w:r>
        <w:t>éducation (</w:t>
      </w:r>
      <w:r w:rsidR="004A3482" w:rsidRPr="004A3482">
        <w:rPr>
          <w:lang w:val="da-DK"/>
        </w:rPr>
        <w:t>cirkulære</w:t>
      </w:r>
      <w:r>
        <w:t xml:space="preserve"> om </w:t>
      </w:r>
      <w:r w:rsidR="004A3482" w:rsidRPr="004A3482">
        <w:rPr>
          <w:lang w:val="da-DK"/>
        </w:rPr>
        <w:t>ændring</w:t>
      </w:r>
      <w:r>
        <w:t xml:space="preserve"> </w:t>
      </w:r>
      <w:r w:rsidRPr="004A3482">
        <w:rPr>
          <w:lang w:val="da-DK"/>
        </w:rPr>
        <w:t>af</w:t>
      </w:r>
      <w:r w:rsidR="004A3482">
        <w:t xml:space="preserve"> </w:t>
      </w:r>
      <w:r w:rsidRPr="004A3482">
        <w:rPr>
          <w:lang w:val="da-DK"/>
        </w:rPr>
        <w:t>folkeskoleloven</w:t>
      </w:r>
      <w:r>
        <w:t>) avait informé les conseils municipaux, commissions</w:t>
      </w:r>
      <w:r w:rsidR="004A3482">
        <w:t xml:space="preserve"> </w:t>
      </w:r>
      <w:r>
        <w:t>scolaires, conseils d</w:t>
      </w:r>
      <w:r w:rsidR="003848D0">
        <w:t>’</w:t>
      </w:r>
      <w:r>
        <w:t>école, conseils d</w:t>
      </w:r>
      <w:r w:rsidR="003848D0">
        <w:t>’</w:t>
      </w:r>
      <w:r>
        <w:t>enseignants et directeurs</w:t>
      </w:r>
      <w:r w:rsidR="004A3482">
        <w:t xml:space="preserve"> </w:t>
      </w:r>
      <w:r>
        <w:t>d</w:t>
      </w:r>
      <w:r w:rsidR="003848D0">
        <w:t>’</w:t>
      </w:r>
      <w:r>
        <w:t>école, en dehors de Copenhague, "qu</w:t>
      </w:r>
      <w:r w:rsidR="003848D0">
        <w:t>’</w:t>
      </w:r>
      <w:r>
        <w:t>il sera(it) diffusé d</w:t>
      </w:r>
      <w:r w:rsidR="003848D0">
        <w:t>’</w:t>
      </w:r>
      <w:r>
        <w:t>autres</w:t>
      </w:r>
      <w:r w:rsidR="004A3482">
        <w:t xml:space="preserve"> </w:t>
      </w:r>
      <w:r>
        <w:t>dispositions, accompagnées de nouvelles directives pédagogiques,</w:t>
      </w:r>
      <w:r w:rsidR="004A3482">
        <w:t xml:space="preserve"> </w:t>
      </w:r>
      <w:r>
        <w:t>concernant l</w:t>
      </w:r>
      <w:r w:rsidR="003848D0">
        <w:t>’</w:t>
      </w:r>
      <w:r>
        <w:t>éducation sexuelle".</w:t>
      </w:r>
      <w:r w:rsidR="003848D0">
        <w:t xml:space="preserve"> </w:t>
      </w:r>
      <w:r>
        <w:t>Elle précisait que "d</w:t>
      </w:r>
      <w:r w:rsidR="003848D0">
        <w:t>’</w:t>
      </w:r>
      <w:r>
        <w:t>ici là, les</w:t>
      </w:r>
      <w:r w:rsidR="004A3482">
        <w:t xml:space="preserve"> </w:t>
      </w:r>
      <w:r>
        <w:t>parents aur(aient) encore la faculté de dispenser leurs enfants de cet</w:t>
      </w:r>
      <w:r w:rsidR="004A3482">
        <w:t xml:space="preserve"> </w:t>
      </w:r>
      <w:r>
        <w:t>enseignement et les professeurs celle de ne pas l</w:t>
      </w:r>
      <w:r w:rsidR="003848D0">
        <w:t>’</w:t>
      </w:r>
      <w:r>
        <w:t>assurer".</w:t>
      </w:r>
    </w:p>
    <w:p w:rsidR="003206D8" w:rsidRDefault="003206D8" w:rsidP="00181D00">
      <w:pPr>
        <w:pStyle w:val="JuPara"/>
      </w:pPr>
      <w:r>
        <w:t>23.</w:t>
      </w:r>
      <w:r w:rsidR="003848D0">
        <w:t xml:space="preserve"> </w:t>
      </w:r>
      <w:r>
        <w:t>Après le vote de la loi du 1</w:t>
      </w:r>
      <w:r w:rsidR="00181D00">
        <w:t>970, le ministre de l</w:t>
      </w:r>
      <w:r w:rsidR="003848D0">
        <w:t>’</w:t>
      </w:r>
      <w:r w:rsidR="00181D00">
        <w:t xml:space="preserve">éducation </w:t>
      </w:r>
      <w:r>
        <w:t>invita la commission des programmes à élaborer un nouveau guide de</w:t>
      </w:r>
      <w:r w:rsidR="00181D00">
        <w:t xml:space="preserve"> </w:t>
      </w:r>
      <w:r>
        <w:t>l</w:t>
      </w:r>
      <w:r w:rsidR="003848D0">
        <w:t>’</w:t>
      </w:r>
      <w:r>
        <w:t>éducation sexuelle dans les écoles publiques, destiné à remplacer</w:t>
      </w:r>
      <w:r w:rsidR="00181D00">
        <w:t xml:space="preserve"> </w:t>
      </w:r>
      <w:r>
        <w:t>celui de 1961 (paragraphe 19 ci-dessus).</w:t>
      </w:r>
      <w:r w:rsidR="003848D0">
        <w:t xml:space="preserve"> </w:t>
      </w:r>
      <w:r w:rsidRPr="00181D00">
        <w:t>Ce guide (</w:t>
      </w:r>
      <w:r w:rsidRPr="00181D00">
        <w:rPr>
          <w:lang w:val="da-DK"/>
        </w:rPr>
        <w:t>Vejledning</w:t>
      </w:r>
      <w:r w:rsidRPr="00181D00">
        <w:t xml:space="preserve"> om</w:t>
      </w:r>
      <w:r w:rsidR="00181D00" w:rsidRPr="00181D00">
        <w:t xml:space="preserve"> </w:t>
      </w:r>
      <w:r w:rsidRPr="00181D00">
        <w:rPr>
          <w:lang w:val="da-DK"/>
        </w:rPr>
        <w:t>seksualoplysning</w:t>
      </w:r>
      <w:r w:rsidRPr="00181D00">
        <w:t xml:space="preserve"> i </w:t>
      </w:r>
      <w:r w:rsidRPr="00181D00">
        <w:rPr>
          <w:lang w:val="da-DK"/>
        </w:rPr>
        <w:t>folkeskolen</w:t>
      </w:r>
      <w:r w:rsidRPr="00181D00">
        <w:t>, "le guide"), achevé en avril 1971,</w:t>
      </w:r>
      <w:r w:rsidR="00181D00" w:rsidRPr="00181D00">
        <w:t xml:space="preserve"> </w:t>
      </w:r>
      <w:r>
        <w:t>formule les objectifs de l</w:t>
      </w:r>
      <w:r w:rsidR="003848D0">
        <w:t>’</w:t>
      </w:r>
      <w:r>
        <w:t>éducation sexuelle ainsi que certains</w:t>
      </w:r>
      <w:r w:rsidR="00181D00">
        <w:t xml:space="preserve"> </w:t>
      </w:r>
      <w:r>
        <w:t>principes généraux devant la régir, et propose des programmes</w:t>
      </w:r>
      <w:r w:rsidR="00181D00">
        <w:t xml:space="preserve"> </w:t>
      </w:r>
      <w:r>
        <w:t>détaillés pour les différentes classes.</w:t>
      </w:r>
    </w:p>
    <w:p w:rsidR="003206D8" w:rsidRDefault="003206D8" w:rsidP="006E5CBA">
      <w:pPr>
        <w:pStyle w:val="JuPara"/>
      </w:pPr>
      <w:r>
        <w:t>24.</w:t>
      </w:r>
      <w:r w:rsidR="003848D0">
        <w:t xml:space="preserve"> </w:t>
      </w:r>
      <w:r>
        <w:t>Sur la base des recommand</w:t>
      </w:r>
      <w:r w:rsidR="006E5CBA">
        <w:t xml:space="preserve">ations du guide, le ministre de </w:t>
      </w:r>
      <w:r>
        <w:t>l</w:t>
      </w:r>
      <w:r w:rsidR="003848D0">
        <w:t>’</w:t>
      </w:r>
      <w:r>
        <w:t>éducation précisa, par le décret n</w:t>
      </w:r>
      <w:r w:rsidR="003848D0" w:rsidRPr="003848D0">
        <w:rPr>
          <w:vertAlign w:val="superscript"/>
        </w:rPr>
        <w:t>o</w:t>
      </w:r>
      <w:r>
        <w:t xml:space="preserve"> 274 du 8 juin 1971</w:t>
      </w:r>
      <w:r w:rsidR="006E5CBA">
        <w:t xml:space="preserve"> </w:t>
      </w:r>
      <w:r w:rsidRPr="006E5CBA">
        <w:t>(</w:t>
      </w:r>
      <w:r w:rsidRPr="006E5CBA">
        <w:rPr>
          <w:lang w:val="da-DK"/>
        </w:rPr>
        <w:t>bekendtgørelse</w:t>
      </w:r>
      <w:r w:rsidRPr="006E5CBA">
        <w:t xml:space="preserve"> om </w:t>
      </w:r>
      <w:r w:rsidRPr="006E5CBA">
        <w:rPr>
          <w:lang w:val="da-DK"/>
        </w:rPr>
        <w:t>seksualoplysning</w:t>
      </w:r>
      <w:r w:rsidRPr="006E5CBA">
        <w:t xml:space="preserve"> i </w:t>
      </w:r>
      <w:r w:rsidRPr="006E5CBA">
        <w:rPr>
          <w:lang w:val="da-DK"/>
        </w:rPr>
        <w:t>folkeskolen</w:t>
      </w:r>
      <w:r w:rsidRPr="006E5CBA">
        <w:t>), les normes qu</w:t>
      </w:r>
      <w:r w:rsidR="003848D0">
        <w:t>’</w:t>
      </w:r>
      <w:r w:rsidRPr="006E5CBA">
        <w:t>il</w:t>
      </w:r>
      <w:r w:rsidR="006E5CBA">
        <w:t xml:space="preserve"> </w:t>
      </w:r>
      <w:r>
        <w:t>avait annoncées dans sa circulaire du 25 juin 1970.</w:t>
      </w:r>
    </w:p>
    <w:p w:rsidR="003206D8" w:rsidRDefault="003206D8" w:rsidP="00650734">
      <w:pPr>
        <w:pStyle w:val="JuPara"/>
      </w:pPr>
      <w:r>
        <w:t>Le décret - qui visait l</w:t>
      </w:r>
      <w:r w:rsidR="003848D0">
        <w:t>’</w:t>
      </w:r>
      <w:r>
        <w:t xml:space="preserve">enseignement </w:t>
      </w:r>
      <w:r w:rsidR="0047474A">
        <w:t xml:space="preserve">primaire et le premier cycle du </w:t>
      </w:r>
      <w:r>
        <w:t xml:space="preserve">secondaire dans les écoles publiques, en dehors de Copenhague </w:t>
      </w:r>
      <w:r w:rsidR="0047474A">
        <w:t>–</w:t>
      </w:r>
      <w:r>
        <w:t xml:space="preserve"> était</w:t>
      </w:r>
      <w:r w:rsidR="0047474A">
        <w:t xml:space="preserve"> </w:t>
      </w:r>
      <w:r>
        <w:t>ainsi libellé:</w:t>
      </w:r>
    </w:p>
    <w:p w:rsidR="003848D0" w:rsidRDefault="003206D8" w:rsidP="00C619F8">
      <w:pPr>
        <w:pStyle w:val="JuHArticle"/>
      </w:pPr>
      <w:r>
        <w:t>"Article 1</w:t>
      </w:r>
    </w:p>
    <w:p w:rsidR="003206D8" w:rsidRDefault="003206D8" w:rsidP="0047474A">
      <w:pPr>
        <w:pStyle w:val="JuQuot"/>
      </w:pPr>
      <w:r>
        <w:t>(1) L</w:t>
      </w:r>
      <w:r w:rsidR="003848D0">
        <w:t>’</w:t>
      </w:r>
      <w:r>
        <w:t>éducation sex</w:t>
      </w:r>
      <w:r w:rsidR="0047474A">
        <w:t xml:space="preserve">uelle a pour objet de dispenser </w:t>
      </w:r>
      <w:r>
        <w:t>aux élèves des connaissances qui:</w:t>
      </w:r>
    </w:p>
    <w:p w:rsidR="003206D8" w:rsidRDefault="003206D8" w:rsidP="0047474A">
      <w:pPr>
        <w:pStyle w:val="JuQuotList"/>
      </w:pPr>
      <w:r>
        <w:t>a) les aident à éviter une incertitude et une crainte de nature à leur</w:t>
      </w:r>
      <w:r w:rsidR="0047474A">
        <w:t xml:space="preserve"> </w:t>
      </w:r>
      <w:r>
        <w:t>créer des problèmes,</w:t>
      </w:r>
    </w:p>
    <w:p w:rsidR="003206D8" w:rsidRDefault="003206D8" w:rsidP="0047474A">
      <w:pPr>
        <w:pStyle w:val="JuQuotList"/>
      </w:pPr>
      <w:r>
        <w:t>b) les aident à mieux comprendre les rapports qui uniss</w:t>
      </w:r>
      <w:r w:rsidR="0047474A">
        <w:t xml:space="preserve">ent la vie </w:t>
      </w:r>
      <w:r>
        <w:t>sexuelle, la vie affective et la vie en société,</w:t>
      </w:r>
    </w:p>
    <w:p w:rsidR="003206D8" w:rsidRDefault="003206D8" w:rsidP="0047474A">
      <w:pPr>
        <w:pStyle w:val="JuQuotList"/>
      </w:pPr>
      <w:r>
        <w:t>c) donnent à chaque élève la possibilit</w:t>
      </w:r>
      <w:r w:rsidR="0047474A">
        <w:t xml:space="preserve">é de découvrir par lui-même les </w:t>
      </w:r>
      <w:r>
        <w:t>attitudes qui s</w:t>
      </w:r>
      <w:r w:rsidR="003848D0">
        <w:t>’</w:t>
      </w:r>
      <w:r>
        <w:t>harmonisent le mieux avec sa propre personnalité,</w:t>
      </w:r>
    </w:p>
    <w:p w:rsidR="003206D8" w:rsidRDefault="0047474A" w:rsidP="0047474A">
      <w:pPr>
        <w:pStyle w:val="JuQuotList"/>
      </w:pPr>
      <w:r>
        <w:t>d</w:t>
      </w:r>
      <w:r w:rsidR="003206D8">
        <w:t>) mettent en valeur l</w:t>
      </w:r>
      <w:r w:rsidR="003848D0">
        <w:t>’</w:t>
      </w:r>
      <w:r w:rsidR="003206D8">
        <w:t>importance du sens des responsabil</w:t>
      </w:r>
      <w:r>
        <w:t xml:space="preserve">ités et de la </w:t>
      </w:r>
      <w:r w:rsidR="003206D8">
        <w:t>délicatesse dans le domaine sexuel.</w:t>
      </w:r>
    </w:p>
    <w:p w:rsidR="003206D8" w:rsidRDefault="003206D8" w:rsidP="0047474A">
      <w:pPr>
        <w:pStyle w:val="JuQuot"/>
      </w:pPr>
      <w:r>
        <w:t>(2) L</w:t>
      </w:r>
      <w:r w:rsidR="003848D0">
        <w:t>’</w:t>
      </w:r>
      <w:r>
        <w:t>éducation sexuelle est dispe</w:t>
      </w:r>
      <w:r w:rsidR="0047474A">
        <w:t xml:space="preserve">nsée à tous les niveaux dans le </w:t>
      </w:r>
      <w:r>
        <w:t>cadre des matières scolaires communes, en particulier le danois, le</w:t>
      </w:r>
      <w:r w:rsidR="0047474A">
        <w:t xml:space="preserve"> </w:t>
      </w:r>
      <w:r>
        <w:t>christianisme, la biologie (hygiène), l</w:t>
      </w:r>
      <w:r w:rsidR="003848D0">
        <w:t>’</w:t>
      </w:r>
      <w:r>
        <w:t>histoire (éducation civique)</w:t>
      </w:r>
      <w:r w:rsidR="0047474A">
        <w:t xml:space="preserve"> </w:t>
      </w:r>
      <w:r>
        <w:t>et l</w:t>
      </w:r>
      <w:r w:rsidR="003848D0">
        <w:t>’</w:t>
      </w:r>
      <w:r>
        <w:t>instruction familiale.</w:t>
      </w:r>
      <w:r w:rsidR="003848D0">
        <w:t xml:space="preserve"> </w:t>
      </w:r>
      <w:r>
        <w:t>On peut aussi, en sixième et neuvième</w:t>
      </w:r>
      <w:r w:rsidR="0047474A">
        <w:t xml:space="preserve"> </w:t>
      </w:r>
      <w:r>
        <w:t>années, donner un aperçu d</w:t>
      </w:r>
      <w:r w:rsidR="003848D0">
        <w:t>’</w:t>
      </w:r>
      <w:r>
        <w:t>ensemble des principaux sujets relevant de</w:t>
      </w:r>
      <w:r w:rsidR="0047474A">
        <w:t xml:space="preserve"> </w:t>
      </w:r>
      <w:r>
        <w:t>l</w:t>
      </w:r>
      <w:r w:rsidR="003848D0">
        <w:t>’</w:t>
      </w:r>
      <w:r>
        <w:t>éducation sexuelle.</w:t>
      </w:r>
    </w:p>
    <w:p w:rsidR="00C619F8" w:rsidRDefault="003206D8" w:rsidP="00C619F8">
      <w:pPr>
        <w:pStyle w:val="JuHArticle"/>
      </w:pPr>
      <w:r>
        <w:t>Article 2</w:t>
      </w:r>
    </w:p>
    <w:p w:rsidR="003206D8" w:rsidRDefault="003206D8" w:rsidP="0047474A">
      <w:pPr>
        <w:pStyle w:val="JuQuot"/>
      </w:pPr>
      <w:r>
        <w:t>(1) Les modalités et l</w:t>
      </w:r>
      <w:r w:rsidR="003848D0">
        <w:t>’</w:t>
      </w:r>
      <w:r>
        <w:t>imp</w:t>
      </w:r>
      <w:r w:rsidR="0047474A">
        <w:t>ortance de l</w:t>
      </w:r>
      <w:r w:rsidR="003848D0">
        <w:t>’</w:t>
      </w:r>
      <w:r w:rsidR="0047474A">
        <w:t xml:space="preserve">éducation sexuelle </w:t>
      </w:r>
      <w:r>
        <w:t>sont définies dans le programme d</w:t>
      </w:r>
      <w:r w:rsidR="003848D0">
        <w:t>’</w:t>
      </w:r>
      <w:r>
        <w:t>études ou conformément à celui-ci.</w:t>
      </w:r>
      <w:r w:rsidR="0047474A">
        <w:t xml:space="preserve"> </w:t>
      </w:r>
      <w:r>
        <w:t>On s</w:t>
      </w:r>
      <w:r w:rsidR="003848D0">
        <w:t>’</w:t>
      </w:r>
      <w:r>
        <w:t>inspirera à cet égard des instructions diffusées par la</w:t>
      </w:r>
      <w:r w:rsidR="0047474A">
        <w:t xml:space="preserve"> </w:t>
      </w:r>
      <w:r>
        <w:t xml:space="preserve">commission des programmes de la </w:t>
      </w:r>
      <w:r w:rsidRPr="0047474A">
        <w:rPr>
          <w:lang w:val="da-DK"/>
        </w:rPr>
        <w:t>folkeskole</w:t>
      </w:r>
      <w:r>
        <w:t>.</w:t>
      </w:r>
      <w:r w:rsidR="003848D0">
        <w:t xml:space="preserve"> </w:t>
      </w:r>
      <w:r>
        <w:t>Si l</w:t>
      </w:r>
      <w:r w:rsidR="003848D0">
        <w:t>’</w:t>
      </w:r>
      <w:r>
        <w:t>on assure en sixième</w:t>
      </w:r>
      <w:r w:rsidR="0047474A">
        <w:t xml:space="preserve"> </w:t>
      </w:r>
      <w:r>
        <w:t>et neuvième années l</w:t>
      </w:r>
      <w:r w:rsidR="003848D0">
        <w:t>’</w:t>
      </w:r>
      <w:r>
        <w:t>enseignement particulier visé à l</w:t>
      </w:r>
      <w:r w:rsidR="003848D0">
        <w:t>’</w:t>
      </w:r>
      <w:r>
        <w:t>article 1 par. 2,</w:t>
      </w:r>
      <w:r w:rsidR="0047474A">
        <w:t xml:space="preserve"> </w:t>
      </w:r>
      <w:r>
        <w:t>seconde phrase, il sera réservé à cet effet un petit nombre de leçons</w:t>
      </w:r>
      <w:r w:rsidR="0047474A">
        <w:t xml:space="preserve"> </w:t>
      </w:r>
      <w:r>
        <w:t>par an.</w:t>
      </w:r>
    </w:p>
    <w:p w:rsidR="003206D8" w:rsidRDefault="003206D8" w:rsidP="0047474A">
      <w:pPr>
        <w:pStyle w:val="JuQuot"/>
      </w:pPr>
      <w:r>
        <w:t>(2) L</w:t>
      </w:r>
      <w:r w:rsidR="003848D0">
        <w:t>’</w:t>
      </w:r>
      <w:r>
        <w:t xml:space="preserve">éventail des questions traitées </w:t>
      </w:r>
      <w:r w:rsidR="0047474A">
        <w:t xml:space="preserve">conformément au paragraphe 1 ne </w:t>
      </w:r>
      <w:r>
        <w:t>saurait être limité de telle sorte que le but de l</w:t>
      </w:r>
      <w:r w:rsidR="003848D0">
        <w:t>’</w:t>
      </w:r>
      <w:r>
        <w:t>éducation sexuelle</w:t>
      </w:r>
      <w:r w:rsidR="0047474A">
        <w:t xml:space="preserve"> </w:t>
      </w:r>
      <w:r>
        <w:t>ne puisse être réalisé.</w:t>
      </w:r>
    </w:p>
    <w:p w:rsidR="003206D8" w:rsidRDefault="003206D8" w:rsidP="0047474A">
      <w:pPr>
        <w:pStyle w:val="JuQuot"/>
      </w:pPr>
      <w:r>
        <w:t>(3) Les limites assignées à l</w:t>
      </w:r>
      <w:r w:rsidR="003848D0">
        <w:t>’</w:t>
      </w:r>
      <w:r>
        <w:t>activité</w:t>
      </w:r>
      <w:r w:rsidR="0047474A">
        <w:t xml:space="preserve"> scolaire </w:t>
      </w:r>
      <w:r w:rsidR="003848D0">
        <w:t>‘</w:t>
      </w:r>
      <w:r w:rsidR="0047474A">
        <w:t>éducation sexuelle</w:t>
      </w:r>
      <w:r w:rsidR="003848D0">
        <w:t>’</w:t>
      </w:r>
      <w:r w:rsidR="0047474A">
        <w:t xml:space="preserve">, </w:t>
      </w:r>
      <w:r>
        <w:t>telles qu</w:t>
      </w:r>
      <w:r w:rsidR="003848D0">
        <w:t>’</w:t>
      </w:r>
      <w:r>
        <w:t>elles sont indiquées au chapitre 4 des instructions, valent</w:t>
      </w:r>
      <w:r w:rsidR="0047474A">
        <w:t xml:space="preserve"> </w:t>
      </w:r>
      <w:r>
        <w:t>nonobstant les dispositions du programme d</w:t>
      </w:r>
      <w:r w:rsidR="003848D0">
        <w:t>’</w:t>
      </w:r>
      <w:r>
        <w:t>études.</w:t>
      </w:r>
    </w:p>
    <w:p w:rsidR="003848D0" w:rsidRDefault="003206D8" w:rsidP="00C619F8">
      <w:pPr>
        <w:pStyle w:val="JuHArticle"/>
      </w:pPr>
      <w:r>
        <w:t>Article 3</w:t>
      </w:r>
    </w:p>
    <w:p w:rsidR="003206D8" w:rsidRDefault="003206D8" w:rsidP="0047474A">
      <w:pPr>
        <w:pStyle w:val="JuQuot"/>
      </w:pPr>
      <w:r>
        <w:t>(1) L</w:t>
      </w:r>
      <w:r w:rsidR="003848D0">
        <w:t>’</w:t>
      </w:r>
      <w:r>
        <w:t>éducation sexuelle es</w:t>
      </w:r>
      <w:r w:rsidR="0047474A">
        <w:t xml:space="preserve">t dispensée par les professeurs </w:t>
      </w:r>
      <w:r>
        <w:t>chargés d</w:t>
      </w:r>
      <w:r w:rsidR="003848D0">
        <w:t>’</w:t>
      </w:r>
      <w:r>
        <w:t>enseigner les matières auxquelles elle est intégrée dans la</w:t>
      </w:r>
      <w:r w:rsidR="0047474A">
        <w:t xml:space="preserve"> </w:t>
      </w:r>
      <w:r>
        <w:t>classe considérée, selon les instructions du chef d</w:t>
      </w:r>
      <w:r w:rsidR="003848D0">
        <w:t>’</w:t>
      </w:r>
      <w:r>
        <w:t>établissement.</w:t>
      </w:r>
      <w:r w:rsidR="0047474A">
        <w:t xml:space="preserve"> </w:t>
      </w:r>
      <w:r>
        <w:t>S</w:t>
      </w:r>
      <w:r w:rsidR="003848D0">
        <w:t>’</w:t>
      </w:r>
      <w:r>
        <w:t>il ne ressort pas du programme d</w:t>
      </w:r>
      <w:r w:rsidR="003848D0">
        <w:t>’</w:t>
      </w:r>
      <w:r>
        <w:t>études à quelles matières se</w:t>
      </w:r>
      <w:r w:rsidR="0047474A">
        <w:t xml:space="preserve"> </w:t>
      </w:r>
      <w:r>
        <w:t>rattachent les divers sujets d</w:t>
      </w:r>
      <w:r w:rsidR="003848D0">
        <w:t>’</w:t>
      </w:r>
      <w:r>
        <w:t>enseignement, les enseignants de la</w:t>
      </w:r>
      <w:r w:rsidR="0047474A">
        <w:t xml:space="preserve"> </w:t>
      </w:r>
      <w:r>
        <w:t>classe se répartissent les tâches en tant que de besoin conformément à</w:t>
      </w:r>
      <w:r w:rsidR="0047474A">
        <w:t xml:space="preserve"> </w:t>
      </w:r>
      <w:r>
        <w:t>l</w:t>
      </w:r>
      <w:r w:rsidR="003848D0">
        <w:t>’</w:t>
      </w:r>
      <w:r>
        <w:t>avis du conseil des enseignants, avis qui doit être approuvé par le</w:t>
      </w:r>
      <w:r w:rsidR="0047474A">
        <w:t xml:space="preserve"> </w:t>
      </w:r>
      <w:r>
        <w:t>conseil d</w:t>
      </w:r>
      <w:r w:rsidR="003848D0">
        <w:t>’</w:t>
      </w:r>
      <w:r>
        <w:t>école conformément à l</w:t>
      </w:r>
      <w:r w:rsidR="003848D0">
        <w:t>’</w:t>
      </w:r>
      <w:r>
        <w:t>article 27 par. 5 de la loi sur</w:t>
      </w:r>
      <w:r w:rsidR="0047474A">
        <w:t xml:space="preserve"> </w:t>
      </w:r>
      <w:r>
        <w:t>l</w:t>
      </w:r>
      <w:r w:rsidR="003848D0">
        <w:t>’</w:t>
      </w:r>
      <w:r>
        <w:t>administration scolaire.</w:t>
      </w:r>
    </w:p>
    <w:p w:rsidR="003206D8" w:rsidRDefault="003206D8" w:rsidP="0047474A">
      <w:pPr>
        <w:pStyle w:val="JuQuot"/>
      </w:pPr>
      <w:r>
        <w:t>(2) On ne peut contraindre un enseign</w:t>
      </w:r>
      <w:r w:rsidR="0047474A">
        <w:t xml:space="preserve">ant à dispenser contre son gré, </w:t>
      </w:r>
      <w:r>
        <w:t>en sixième et neuvième années, l</w:t>
      </w:r>
      <w:r w:rsidR="003848D0">
        <w:t>’</w:t>
      </w:r>
      <w:r>
        <w:t>enseignement particulier visé à</w:t>
      </w:r>
      <w:r w:rsidR="0047474A">
        <w:t xml:space="preserve"> </w:t>
      </w:r>
      <w:r>
        <w:t>l</w:t>
      </w:r>
      <w:r w:rsidR="003848D0">
        <w:t>’</w:t>
      </w:r>
      <w:r>
        <w:t>article 1 par. 2, seconde phrase.</w:t>
      </w:r>
    </w:p>
    <w:p w:rsidR="003848D0" w:rsidRDefault="003206D8" w:rsidP="00C619F8">
      <w:pPr>
        <w:pStyle w:val="JuHArticle"/>
      </w:pPr>
      <w:r>
        <w:t>Article 4</w:t>
      </w:r>
    </w:p>
    <w:p w:rsidR="003206D8" w:rsidRDefault="003206D8" w:rsidP="0047474A">
      <w:pPr>
        <w:pStyle w:val="JuQuot"/>
      </w:pPr>
      <w:r>
        <w:t>(1) Le présent décret entrera en vigueur le 1er août 1971.</w:t>
      </w:r>
    </w:p>
    <w:p w:rsidR="003206D8" w:rsidRDefault="003206D8" w:rsidP="0047474A">
      <w:pPr>
        <w:pStyle w:val="JuQuot"/>
      </w:pPr>
      <w:r>
        <w:t>(2) En même temps disparaît le droit pour le</w:t>
      </w:r>
      <w:r w:rsidR="0047474A">
        <w:t xml:space="preserve">s parents de faire </w:t>
      </w:r>
      <w:r>
        <w:t>exempter leurs enfants de l</w:t>
      </w:r>
      <w:r w:rsidR="003848D0">
        <w:t>’</w:t>
      </w:r>
      <w:r>
        <w:t>éducation sexuelle donnée à l</w:t>
      </w:r>
      <w:r w:rsidR="003848D0">
        <w:t>’</w:t>
      </w:r>
      <w:r>
        <w:t>école.</w:t>
      </w:r>
      <w:r w:rsidR="003848D0">
        <w:t xml:space="preserve"> </w:t>
      </w:r>
      <w:r>
        <w:t>Ils</w:t>
      </w:r>
      <w:r w:rsidR="0047474A">
        <w:t xml:space="preserve"> </w:t>
      </w:r>
      <w:r>
        <w:t>peuvent cependant, en s</w:t>
      </w:r>
      <w:r w:rsidR="003848D0">
        <w:t>’</w:t>
      </w:r>
      <w:r>
        <w:t>adressant au chef d</w:t>
      </w:r>
      <w:r w:rsidR="003848D0">
        <w:t>’</w:t>
      </w:r>
      <w:r>
        <w:t>établissement, les faire</w:t>
      </w:r>
      <w:r w:rsidR="0047474A">
        <w:t xml:space="preserve"> </w:t>
      </w:r>
      <w:r>
        <w:t>exempter de l</w:t>
      </w:r>
      <w:r w:rsidR="003848D0">
        <w:t>’</w:t>
      </w:r>
      <w:r>
        <w:t>enseignement particulier visé à l</w:t>
      </w:r>
      <w:r w:rsidR="003848D0">
        <w:t>’</w:t>
      </w:r>
      <w:r>
        <w:t>article 1 par. 2, seconde</w:t>
      </w:r>
      <w:r w:rsidR="0047474A">
        <w:t xml:space="preserve"> </w:t>
      </w:r>
      <w:r>
        <w:t>phrase.</w:t>
      </w:r>
    </w:p>
    <w:p w:rsidR="003206D8" w:rsidRDefault="003206D8" w:rsidP="0047474A">
      <w:pPr>
        <w:pStyle w:val="JuQuot"/>
      </w:pPr>
      <w:r>
        <w:t>(3) (...)."</w:t>
      </w:r>
    </w:p>
    <w:p w:rsidR="003206D8" w:rsidRDefault="003206D8" w:rsidP="003842E8">
      <w:pPr>
        <w:pStyle w:val="JuPara"/>
      </w:pPr>
      <w:r>
        <w:t>25.</w:t>
      </w:r>
      <w:r w:rsidR="003848D0">
        <w:t xml:space="preserve"> </w:t>
      </w:r>
      <w:r>
        <w:t>Une circulaire du ministre de l</w:t>
      </w:r>
      <w:r w:rsidR="003848D0">
        <w:t>’</w:t>
      </w:r>
      <w:r>
        <w:t>éducation (</w:t>
      </w:r>
      <w:r w:rsidR="003842E8" w:rsidRPr="003842E8">
        <w:rPr>
          <w:lang w:val="da-DK"/>
        </w:rPr>
        <w:t>cirkulære</w:t>
      </w:r>
      <w:r>
        <w:t xml:space="preserve"> om</w:t>
      </w:r>
      <w:r w:rsidR="003842E8">
        <w:t xml:space="preserve"> </w:t>
      </w:r>
      <w:r w:rsidRPr="003842E8">
        <w:rPr>
          <w:lang w:val="da-DK"/>
        </w:rPr>
        <w:t>seksualoplysning</w:t>
      </w:r>
      <w:r>
        <w:t xml:space="preserve"> i </w:t>
      </w:r>
      <w:r w:rsidRPr="003842E8">
        <w:rPr>
          <w:lang w:val="da-DK"/>
        </w:rPr>
        <w:t>folkeskolen</w:t>
      </w:r>
      <w:r>
        <w:t>), datée elle aussi du 8 juin 1971 et</w:t>
      </w:r>
      <w:r w:rsidR="003842E8">
        <w:t xml:space="preserve"> </w:t>
      </w:r>
      <w:r>
        <w:t>adressée aux mêmes autorités que celle du 25 juin 1970 (paragraphe 22</w:t>
      </w:r>
      <w:r w:rsidR="003842E8">
        <w:t xml:space="preserve"> </w:t>
      </w:r>
      <w:r>
        <w:t>ci-dessus), fournissait aux destinataires, entre autres, certaines</w:t>
      </w:r>
      <w:r w:rsidR="003842E8">
        <w:t xml:space="preserve"> </w:t>
      </w:r>
      <w:r>
        <w:t>précisions quant à la préparation des programmes d</w:t>
      </w:r>
      <w:r w:rsidR="003848D0">
        <w:t>’</w:t>
      </w:r>
      <w:r>
        <w:t>études des écoles</w:t>
      </w:r>
      <w:r w:rsidR="003842E8">
        <w:t xml:space="preserve"> </w:t>
      </w:r>
      <w:r>
        <w:t>publiques en la matière.</w:t>
      </w:r>
      <w:r w:rsidR="003848D0">
        <w:t xml:space="preserve"> </w:t>
      </w:r>
      <w:r>
        <w:t>Elle attirait notamment leur attention sur le</w:t>
      </w:r>
      <w:r w:rsidR="003842E8">
        <w:t xml:space="preserve"> </w:t>
      </w:r>
      <w:r>
        <w:t>fait qu</w:t>
      </w:r>
      <w:r w:rsidR="003848D0">
        <w:t>’</w:t>
      </w:r>
      <w:r>
        <w:t>"il incombait à la commission scolaire, après en avoir discuté</w:t>
      </w:r>
      <w:r w:rsidR="003842E8">
        <w:t xml:space="preserve"> </w:t>
      </w:r>
      <w:r>
        <w:t>avec le conseil collectif des enseignants, d</w:t>
      </w:r>
      <w:r w:rsidR="003848D0">
        <w:t>’</w:t>
      </w:r>
      <w:r>
        <w:t>élaborer un projet de</w:t>
      </w:r>
      <w:r w:rsidR="003842E8">
        <w:t xml:space="preserve"> </w:t>
      </w:r>
      <w:r>
        <w:t>dispositions régissant l</w:t>
      </w:r>
      <w:r w:rsidR="003848D0">
        <w:t>’</w:t>
      </w:r>
      <w:r>
        <w:t>éducation sexuelle, à reprendre dans les</w:t>
      </w:r>
      <w:r w:rsidR="003842E8">
        <w:t xml:space="preserve"> </w:t>
      </w:r>
      <w:r>
        <w:t>programmes d</w:t>
      </w:r>
      <w:r w:rsidR="003848D0">
        <w:t>’</w:t>
      </w:r>
      <w:r>
        <w:t>études des écoles de la commune".</w:t>
      </w:r>
      <w:r w:rsidR="003848D0">
        <w:t xml:space="preserve"> </w:t>
      </w:r>
      <w:r>
        <w:t>Rappelant que ces</w:t>
      </w:r>
      <w:r w:rsidR="003842E8">
        <w:t xml:space="preserve"> </w:t>
      </w:r>
      <w:r>
        <w:t>dispositions pouvaient revêtir la forme d</w:t>
      </w:r>
      <w:r w:rsidR="003848D0">
        <w:t>’</w:t>
      </w:r>
      <w:r>
        <w:t>un simple renvoi aux</w:t>
      </w:r>
      <w:r w:rsidR="003842E8">
        <w:t xml:space="preserve"> </w:t>
      </w:r>
      <w:r>
        <w:t>recommandations du guide, la circulaire relevait que celui-ci offrait</w:t>
      </w:r>
      <w:r w:rsidR="003842E8">
        <w:t xml:space="preserve"> </w:t>
      </w:r>
      <w:r>
        <w:t>pour les classes de la cinquième année à la dixième diverses</w:t>
      </w:r>
      <w:r w:rsidR="003842E8">
        <w:t xml:space="preserve"> </w:t>
      </w:r>
      <w:r>
        <w:t>possibilités en ce qui concerne les modalités et l</w:t>
      </w:r>
      <w:r w:rsidR="003848D0">
        <w:t>’</w:t>
      </w:r>
      <w:r>
        <w:t>importance de</w:t>
      </w:r>
      <w:r w:rsidR="003842E8">
        <w:t xml:space="preserve"> </w:t>
      </w:r>
      <w:r>
        <w:t>l</w:t>
      </w:r>
      <w:r w:rsidR="003848D0">
        <w:t>’</w:t>
      </w:r>
      <w:r>
        <w:t>enseignement.</w:t>
      </w:r>
      <w:r w:rsidR="003848D0">
        <w:t xml:space="preserve"> </w:t>
      </w:r>
      <w:r>
        <w:t>Par conséquent, en cas de simple référence au guide,</w:t>
      </w:r>
      <w:r w:rsidR="003842E8">
        <w:t xml:space="preserve"> </w:t>
      </w:r>
      <w:r>
        <w:t>"il appart(enait) à l</w:t>
      </w:r>
      <w:r w:rsidR="003848D0">
        <w:t>’</w:t>
      </w:r>
      <w:r>
        <w:t>établissement (conseil des enseignants) de se</w:t>
      </w:r>
      <w:r w:rsidR="003842E8">
        <w:t xml:space="preserve"> </w:t>
      </w:r>
      <w:r>
        <w:t>prononcer à cet égard avec l</w:t>
      </w:r>
      <w:r w:rsidR="003848D0">
        <w:t>’</w:t>
      </w:r>
      <w:r>
        <w:t>accord du conseil d</w:t>
      </w:r>
      <w:r w:rsidR="003848D0">
        <w:t>’</w:t>
      </w:r>
      <w:r>
        <w:t>école".</w:t>
      </w:r>
    </w:p>
    <w:p w:rsidR="003206D8" w:rsidRDefault="003206D8" w:rsidP="00921C4F">
      <w:pPr>
        <w:pStyle w:val="JuPara"/>
      </w:pPr>
      <w:r>
        <w:t>26.</w:t>
      </w:r>
      <w:r w:rsidR="003848D0">
        <w:t xml:space="preserve"> </w:t>
      </w:r>
      <w:r>
        <w:t>Les objectifs retenus par l</w:t>
      </w:r>
      <w:r w:rsidR="00921C4F">
        <w:t xml:space="preserve">e décret du 8 juin 1971 étaient </w:t>
      </w:r>
      <w:r>
        <w:t>identiques à ceux du guide, à ceci près que ce dernier renferme un</w:t>
      </w:r>
      <w:r w:rsidR="00921C4F">
        <w:t xml:space="preserve"> </w:t>
      </w:r>
      <w:r>
        <w:t>passage supplémentaire aux termes duquel les écoles doivent essayer de</w:t>
      </w:r>
      <w:r w:rsidR="00921C4F">
        <w:t xml:space="preserve"> </w:t>
      </w:r>
      <w:r>
        <w:t>promouvoir chez les élèves une ouverture d</w:t>
      </w:r>
      <w:r w:rsidR="003848D0">
        <w:t>’</w:t>
      </w:r>
      <w:r>
        <w:t>esprit aux aspects sexuels</w:t>
      </w:r>
      <w:r w:rsidR="00921C4F">
        <w:t xml:space="preserve"> </w:t>
      </w:r>
      <w:r>
        <w:t>de la vie de l</w:t>
      </w:r>
      <w:r w:rsidR="003848D0">
        <w:t>’</w:t>
      </w:r>
      <w:r>
        <w:t>homme et d</w:t>
      </w:r>
      <w:r w:rsidR="003848D0">
        <w:t>’</w:t>
      </w:r>
      <w:r>
        <w:t>encourager cette ouverture d</w:t>
      </w:r>
      <w:r w:rsidR="003848D0">
        <w:t>’</w:t>
      </w:r>
      <w:r>
        <w:t>esprit par une</w:t>
      </w:r>
      <w:r w:rsidR="00921C4F">
        <w:t xml:space="preserve"> </w:t>
      </w:r>
      <w:r>
        <w:t>attitude propre à leur inspirer un sentiment de sécurité.</w:t>
      </w:r>
    </w:p>
    <w:p w:rsidR="003206D8" w:rsidRDefault="003206D8" w:rsidP="00921C4F">
      <w:pPr>
        <w:pStyle w:val="JuPara"/>
      </w:pPr>
      <w:r>
        <w:t>27.</w:t>
      </w:r>
      <w:r w:rsidR="003848D0">
        <w:t xml:space="preserve"> </w:t>
      </w:r>
      <w:r>
        <w:t>Le guide commente ainsi le pri</w:t>
      </w:r>
      <w:r w:rsidR="00921C4F">
        <w:t>ncipe d</w:t>
      </w:r>
      <w:r w:rsidR="003848D0">
        <w:t>’</w:t>
      </w:r>
      <w:r w:rsidR="00921C4F">
        <w:t xml:space="preserve">intégration consacré au </w:t>
      </w:r>
      <w:r>
        <w:t>paragraphe 2 de l</w:t>
      </w:r>
      <w:r w:rsidR="003848D0">
        <w:t>’</w:t>
      </w:r>
      <w:r>
        <w:t>article 1 du décret:</w:t>
      </w:r>
    </w:p>
    <w:p w:rsidR="003206D8" w:rsidRDefault="003206D8" w:rsidP="00921C4F">
      <w:pPr>
        <w:pStyle w:val="JuQuot"/>
      </w:pPr>
      <w:r>
        <w:t>"L</w:t>
      </w:r>
      <w:r w:rsidR="003848D0">
        <w:t>’</w:t>
      </w:r>
      <w:r>
        <w:t>intégration a pour but pr</w:t>
      </w:r>
      <w:r w:rsidR="00921C4F">
        <w:t>incipal de situer l</w:t>
      </w:r>
      <w:r w:rsidR="003848D0">
        <w:t>’</w:t>
      </w:r>
      <w:r w:rsidR="00921C4F">
        <w:t xml:space="preserve">information </w:t>
      </w:r>
      <w:r>
        <w:t>sexuelle dans un contexte tel que la sexualité humaine n</w:t>
      </w:r>
      <w:r w:rsidR="003848D0">
        <w:t>’</w:t>
      </w:r>
      <w:r>
        <w:t>apparaisse</w:t>
      </w:r>
      <w:r w:rsidR="00921C4F">
        <w:t xml:space="preserve"> </w:t>
      </w:r>
      <w:r>
        <w:t>pas comme un phénomène particulier.</w:t>
      </w:r>
      <w:r w:rsidR="003848D0">
        <w:t xml:space="preserve"> </w:t>
      </w:r>
      <w:r>
        <w:t>La sexualité n</w:t>
      </w:r>
      <w:r w:rsidR="003848D0">
        <w:t>’</w:t>
      </w:r>
      <w:r>
        <w:t>est</w:t>
      </w:r>
      <w:r w:rsidR="00921C4F">
        <w:t xml:space="preserve"> </w:t>
      </w:r>
      <w:r>
        <w:t>ni un problème purement physique (...) ni un problème purement</w:t>
      </w:r>
      <w:r w:rsidR="00921C4F">
        <w:t xml:space="preserve"> </w:t>
      </w:r>
      <w:r>
        <w:t>technique (...).</w:t>
      </w:r>
      <w:r w:rsidR="003848D0">
        <w:t xml:space="preserve"> </w:t>
      </w:r>
      <w:r>
        <w:t>D</w:t>
      </w:r>
      <w:r w:rsidR="003848D0">
        <w:t>’</w:t>
      </w:r>
      <w:r>
        <w:t>un autre côté, ses répercussions émotionnelles</w:t>
      </w:r>
      <w:r w:rsidR="00921C4F">
        <w:t xml:space="preserve"> </w:t>
      </w:r>
      <w:r>
        <w:t>ne sont pas telles qu</w:t>
      </w:r>
      <w:r w:rsidR="003848D0">
        <w:t>’</w:t>
      </w:r>
      <w:r>
        <w:t>elle ne puisse pas donner lieu à des</w:t>
      </w:r>
      <w:r w:rsidR="00921C4F">
        <w:t xml:space="preserve"> </w:t>
      </w:r>
      <w:r>
        <w:t>discussions objectives et sérieuses (...).</w:t>
      </w:r>
      <w:r w:rsidR="003848D0">
        <w:t xml:space="preserve"> </w:t>
      </w:r>
      <w:r>
        <w:t>Le sujet devrait</w:t>
      </w:r>
      <w:r w:rsidR="00921C4F">
        <w:t xml:space="preserve"> </w:t>
      </w:r>
      <w:r>
        <w:t>donc faire partie intégrante de l</w:t>
      </w:r>
      <w:r w:rsidR="003848D0">
        <w:t>’</w:t>
      </w:r>
      <w:r>
        <w:t>éducation scolaire générale</w:t>
      </w:r>
      <w:r w:rsidR="00921C4F">
        <w:t xml:space="preserve"> </w:t>
      </w:r>
      <w:r>
        <w:t>(...)."</w:t>
      </w:r>
    </w:p>
    <w:p w:rsidR="003206D8" w:rsidRDefault="003206D8" w:rsidP="00481B3A">
      <w:pPr>
        <w:pStyle w:val="JuPara"/>
      </w:pPr>
      <w:r>
        <w:t>28.</w:t>
      </w:r>
      <w:r w:rsidR="003848D0">
        <w:t xml:space="preserve"> </w:t>
      </w:r>
      <w:r>
        <w:t xml:space="preserve">Quant à la définition des </w:t>
      </w:r>
      <w:r w:rsidR="00481B3A">
        <w:t>modalités et de l</w:t>
      </w:r>
      <w:r w:rsidR="003848D0">
        <w:t>’</w:t>
      </w:r>
      <w:r w:rsidR="00481B3A">
        <w:t xml:space="preserve">importance de </w:t>
      </w:r>
      <w:r>
        <w:t>l</w:t>
      </w:r>
      <w:r w:rsidR="003848D0">
        <w:t>’</w:t>
      </w:r>
      <w:r>
        <w:t>éducation sexuelle (article 2 par. 1 du décret), le guide indique les</w:t>
      </w:r>
      <w:r w:rsidR="00481B3A">
        <w:t xml:space="preserve"> </w:t>
      </w:r>
      <w:r>
        <w:t>matières que peuvent englober les programmes d</w:t>
      </w:r>
      <w:r w:rsidR="003848D0">
        <w:t>’</w:t>
      </w:r>
      <w:r>
        <w:t>études des écoles</w:t>
      </w:r>
      <w:r w:rsidR="00481B3A">
        <w:t xml:space="preserve"> </w:t>
      </w:r>
      <w:r>
        <w:t>publiques.</w:t>
      </w:r>
    </w:p>
    <w:p w:rsidR="003206D8" w:rsidRDefault="003206D8" w:rsidP="00605569">
      <w:pPr>
        <w:pStyle w:val="JuPara"/>
      </w:pPr>
      <w:r>
        <w:t xml:space="preserve">De la première année à la quatrième, </w:t>
      </w:r>
      <w:r w:rsidR="00605569">
        <w:t>l</w:t>
      </w:r>
      <w:r w:rsidR="003848D0">
        <w:t>’</w:t>
      </w:r>
      <w:r w:rsidR="00605569">
        <w:t xml:space="preserve">instruction part de la notion </w:t>
      </w:r>
      <w:r>
        <w:t>de famille pour traiter ensuite de la différence des sexes, de la</w:t>
      </w:r>
      <w:r w:rsidR="00605569">
        <w:t xml:space="preserve"> </w:t>
      </w:r>
      <w:r>
        <w:t>conception, de la naissance et du développement de l</w:t>
      </w:r>
      <w:r w:rsidR="003848D0">
        <w:t>’</w:t>
      </w:r>
      <w:r>
        <w:t>enfant, du</w:t>
      </w:r>
      <w:r w:rsidR="00605569">
        <w:t xml:space="preserve"> </w:t>
      </w:r>
      <w:r>
        <w:t>planning familial, des contacts des enfants avec les personnes qu</w:t>
      </w:r>
      <w:r w:rsidR="003848D0">
        <w:t>’</w:t>
      </w:r>
      <w:r>
        <w:t>ils</w:t>
      </w:r>
      <w:r w:rsidR="00605569">
        <w:t xml:space="preserve"> </w:t>
      </w:r>
      <w:r>
        <w:t>ne connaissent pas et de la puberté.</w:t>
      </w:r>
    </w:p>
    <w:p w:rsidR="003206D8" w:rsidRDefault="003206D8" w:rsidP="00605569">
      <w:pPr>
        <w:pStyle w:val="JuPara"/>
      </w:pPr>
      <w:r>
        <w:t>La liste des sujets suggérés pour les</w:t>
      </w:r>
      <w:r w:rsidR="00605569">
        <w:t xml:space="preserve"> cinquième, sixième et septième </w:t>
      </w:r>
      <w:r>
        <w:t>années comprend les organes sexuels, la puberté, les hormones,</w:t>
      </w:r>
      <w:r w:rsidR="00605569">
        <w:t xml:space="preserve"> </w:t>
      </w:r>
      <w:r>
        <w:t>l</w:t>
      </w:r>
      <w:r w:rsidR="003848D0">
        <w:t>’</w:t>
      </w:r>
      <w:r>
        <w:t>hérédité, les activités sexuelles (masturbation, copulation,</w:t>
      </w:r>
      <w:r w:rsidR="00605569">
        <w:t xml:space="preserve"> </w:t>
      </w:r>
      <w:r>
        <w:t>orgasme), la fécondation, les méthodes contraceptives, les maladies</w:t>
      </w:r>
      <w:r w:rsidR="00605569">
        <w:t xml:space="preserve"> </w:t>
      </w:r>
      <w:r>
        <w:t>vénériennes, les déviations sexuelles (notamment l</w:t>
      </w:r>
      <w:r w:rsidR="003848D0">
        <w:t>’</w:t>
      </w:r>
      <w:r>
        <w:t>homosexualité) et</w:t>
      </w:r>
      <w:r w:rsidR="00605569">
        <w:t xml:space="preserve"> </w:t>
      </w:r>
      <w:r>
        <w:t>la pornographie.</w:t>
      </w:r>
    </w:p>
    <w:p w:rsidR="003206D8" w:rsidRDefault="003206D8" w:rsidP="00605569">
      <w:pPr>
        <w:pStyle w:val="JuPara"/>
      </w:pPr>
      <w:r>
        <w:t>L</w:t>
      </w:r>
      <w:r w:rsidR="003848D0">
        <w:t>’</w:t>
      </w:r>
      <w:r>
        <w:t>enseignement dispensé de la huitième année à la dixième revient sur</w:t>
      </w:r>
      <w:r w:rsidR="00605569">
        <w:t xml:space="preserve"> </w:t>
      </w:r>
      <w:r>
        <w:t>les questions abordées au cours des années précédentes, tout en</w:t>
      </w:r>
      <w:r w:rsidR="00605569">
        <w:t xml:space="preserve"> </w:t>
      </w:r>
      <w:r>
        <w:t>mettant l</w:t>
      </w:r>
      <w:r w:rsidR="003848D0">
        <w:t>’</w:t>
      </w:r>
      <w:r>
        <w:t>accent sur les aspects éthiques, sociaux et familiaux de la</w:t>
      </w:r>
      <w:r w:rsidR="00605569">
        <w:t xml:space="preserve"> </w:t>
      </w:r>
      <w:r>
        <w:t>vie sexuelle.</w:t>
      </w:r>
      <w:r w:rsidR="003848D0">
        <w:t xml:space="preserve"> </w:t>
      </w:r>
      <w:r>
        <w:t>Le guide mentionne l</w:t>
      </w:r>
      <w:r w:rsidR="003848D0">
        <w:t>’</w:t>
      </w:r>
      <w:r>
        <w:t>éthique et la morale sexuelles, les</w:t>
      </w:r>
      <w:r w:rsidR="00605569">
        <w:t xml:space="preserve"> </w:t>
      </w:r>
      <w:r>
        <w:t>différentes opinions sur la vie sexuelle avant le mariage, la vie</w:t>
      </w:r>
      <w:r w:rsidR="00605569">
        <w:t xml:space="preserve"> </w:t>
      </w:r>
      <w:r>
        <w:t>sexuelle et le mariage vus à la lumière de différentes opinions</w:t>
      </w:r>
      <w:r w:rsidR="00605569">
        <w:t xml:space="preserve"> </w:t>
      </w:r>
      <w:r>
        <w:t>religieuses et politiques, le rôle des sexes, l</w:t>
      </w:r>
      <w:r w:rsidR="003848D0">
        <w:t>’</w:t>
      </w:r>
      <w:r>
        <w:t>amour, le sexe et la</w:t>
      </w:r>
      <w:r w:rsidR="00605569">
        <w:t xml:space="preserve"> </w:t>
      </w:r>
      <w:r>
        <w:t>fidélité dans le mariage, le divorce, etc.</w:t>
      </w:r>
    </w:p>
    <w:p w:rsidR="003206D8" w:rsidRDefault="003206D8" w:rsidP="00605569">
      <w:pPr>
        <w:pStyle w:val="JuPara"/>
      </w:pPr>
      <w:r>
        <w:t>29.</w:t>
      </w:r>
      <w:r w:rsidR="003848D0">
        <w:t xml:space="preserve"> </w:t>
      </w:r>
      <w:r>
        <w:t>Le guide préconise une métho</w:t>
      </w:r>
      <w:r w:rsidR="00605569">
        <w:t>de d</w:t>
      </w:r>
      <w:r w:rsidR="003848D0">
        <w:t>’</w:t>
      </w:r>
      <w:r w:rsidR="00605569">
        <w:t xml:space="preserve">enseignement fondée sur un </w:t>
      </w:r>
      <w:r>
        <w:t>dialogue entre enseignants et enfants, à partir de questions de ces</w:t>
      </w:r>
      <w:r w:rsidR="00605569">
        <w:t xml:space="preserve"> </w:t>
      </w:r>
      <w:r>
        <w:t>derniers.</w:t>
      </w:r>
      <w:r w:rsidR="003848D0">
        <w:t xml:space="preserve"> </w:t>
      </w:r>
      <w:r>
        <w:t>Il souligne que "l</w:t>
      </w:r>
      <w:r w:rsidR="003848D0">
        <w:t>’</w:t>
      </w:r>
      <w:r>
        <w:t>enseignement doit être dispensé avec</w:t>
      </w:r>
      <w:r w:rsidR="00605569">
        <w:t xml:space="preserve"> </w:t>
      </w:r>
      <w:r>
        <w:t>assez de tact pour ne pas choquer ou effrayer l</w:t>
      </w:r>
      <w:r w:rsidR="003848D0">
        <w:t>’</w:t>
      </w:r>
      <w:r>
        <w:t>enfant" et qu</w:t>
      </w:r>
      <w:r w:rsidR="003848D0">
        <w:t>’</w:t>
      </w:r>
      <w:r>
        <w:t>il "doit</w:t>
      </w:r>
      <w:r w:rsidR="00605569">
        <w:t xml:space="preserve"> </w:t>
      </w:r>
      <w:r>
        <w:t>respecter le droit de chaque enfant à continuer d</w:t>
      </w:r>
      <w:r w:rsidR="003848D0">
        <w:t>’</w:t>
      </w:r>
      <w:r>
        <w:t>adhérer aux</w:t>
      </w:r>
      <w:r w:rsidR="00605569">
        <w:t xml:space="preserve"> </w:t>
      </w:r>
      <w:r>
        <w:t>conceptions qu</w:t>
      </w:r>
      <w:r w:rsidR="003848D0">
        <w:t>’</w:t>
      </w:r>
      <w:r>
        <w:t>il s</w:t>
      </w:r>
      <w:r w:rsidR="003848D0">
        <w:t>’</w:t>
      </w:r>
      <w:r>
        <w:t>est lui-même forgées".</w:t>
      </w:r>
      <w:r w:rsidR="003848D0">
        <w:t xml:space="preserve"> </w:t>
      </w:r>
      <w:r>
        <w:t>Dans la mesure où la</w:t>
      </w:r>
      <w:r w:rsidR="00605569">
        <w:t xml:space="preserve"> </w:t>
      </w:r>
      <w:r>
        <w:t>discussion porte sur des problèmes éthiques et moraux de la vie</w:t>
      </w:r>
      <w:r w:rsidR="00605569">
        <w:t xml:space="preserve"> </w:t>
      </w:r>
      <w:r>
        <w:t>sexuelle, le guide recommande aux enseignants une attitude objective;</w:t>
      </w:r>
      <w:r w:rsidR="00605569">
        <w:t xml:space="preserve"> </w:t>
      </w:r>
      <w:r>
        <w:t>il précise:</w:t>
      </w:r>
    </w:p>
    <w:p w:rsidR="003206D8" w:rsidRDefault="003206D8" w:rsidP="00605569">
      <w:pPr>
        <w:pStyle w:val="JuQuot"/>
      </w:pPr>
      <w:r>
        <w:t xml:space="preserve">"Le professeur ne doit pas se prononcer </w:t>
      </w:r>
      <w:r w:rsidR="00605569">
        <w:t xml:space="preserve">sur les idées débattues. </w:t>
      </w:r>
      <w:r>
        <w:t>Cela ne l</w:t>
      </w:r>
      <w:r w:rsidR="003848D0">
        <w:t>’</w:t>
      </w:r>
      <w:r>
        <w:t>empêche pourtant pas nécessairement d</w:t>
      </w:r>
      <w:r w:rsidR="003848D0">
        <w:t>’</w:t>
      </w:r>
      <w:r>
        <w:t>exprimer son avis</w:t>
      </w:r>
      <w:r w:rsidR="00605569">
        <w:t xml:space="preserve"> </w:t>
      </w:r>
      <w:r>
        <w:t>personnel.</w:t>
      </w:r>
      <w:r w:rsidR="003848D0">
        <w:t xml:space="preserve"> </w:t>
      </w:r>
      <w:r>
        <w:t>L</w:t>
      </w:r>
      <w:r w:rsidR="003848D0">
        <w:t>’</w:t>
      </w:r>
      <w:r>
        <w:t>objectivité s</w:t>
      </w:r>
      <w:r w:rsidR="003848D0">
        <w:t>’</w:t>
      </w:r>
      <w:r>
        <w:t>impose d</w:t>
      </w:r>
      <w:r w:rsidR="003848D0">
        <w:t>’</w:t>
      </w:r>
      <w:r>
        <w:t>autant plus que les élèves</w:t>
      </w:r>
      <w:r w:rsidR="00605569">
        <w:t xml:space="preserve"> </w:t>
      </w:r>
      <w:r>
        <w:t>sortent de tous les milieux sociaux.</w:t>
      </w:r>
      <w:r w:rsidR="003848D0">
        <w:t xml:space="preserve"> </w:t>
      </w:r>
      <w:r>
        <w:t>Les parents doivent pouvoir être</w:t>
      </w:r>
      <w:r w:rsidR="00605569">
        <w:t xml:space="preserve"> </w:t>
      </w:r>
      <w:r>
        <w:t>sûrs que leurs enfants ne sont pas influencés dans une direction</w:t>
      </w:r>
      <w:r w:rsidR="00605569">
        <w:t xml:space="preserve"> </w:t>
      </w:r>
      <w:r>
        <w:t>unilatérale qui s</w:t>
      </w:r>
      <w:r w:rsidR="003848D0">
        <w:t>’</w:t>
      </w:r>
      <w:r>
        <w:t>écarte de leurs propres opinions.</w:t>
      </w:r>
      <w:r w:rsidR="003848D0">
        <w:t xml:space="preserve"> </w:t>
      </w:r>
      <w:r>
        <w:t>Ils doivent avoir</w:t>
      </w:r>
      <w:r w:rsidR="00605569">
        <w:t xml:space="preserve"> </w:t>
      </w:r>
      <w:r>
        <w:t>l</w:t>
      </w:r>
      <w:r w:rsidR="003848D0">
        <w:t>’</w:t>
      </w:r>
      <w:r>
        <w:t>assurance que les conceptions morales fondamentales sont présentées</w:t>
      </w:r>
      <w:r w:rsidR="00605569">
        <w:t xml:space="preserve"> </w:t>
      </w:r>
      <w:r>
        <w:t>avec objectivité et sérieux."</w:t>
      </w:r>
    </w:p>
    <w:p w:rsidR="003206D8" w:rsidRDefault="003206D8" w:rsidP="00605569">
      <w:pPr>
        <w:pStyle w:val="JuPara"/>
      </w:pPr>
      <w:r>
        <w:t>Le guide engage en outre les professeurs à ne pas</w:t>
      </w:r>
      <w:r w:rsidR="00605569">
        <w:t xml:space="preserve"> se servir </w:t>
      </w:r>
      <w:r>
        <w:t>d</w:t>
      </w:r>
      <w:r w:rsidR="003848D0">
        <w:t>’</w:t>
      </w:r>
      <w:r>
        <w:t>expressions vulgaires ni de photographies érotiques, à ne pas</w:t>
      </w:r>
      <w:r w:rsidR="00605569">
        <w:t xml:space="preserve"> </w:t>
      </w:r>
      <w:r>
        <w:t>discuter des questions sexuelles avec un élève seul en dehors du</w:t>
      </w:r>
      <w:r w:rsidR="00605569">
        <w:t xml:space="preserve"> </w:t>
      </w:r>
      <w:r>
        <w:t>groupe et à ne pas informer les écoliers des techniques de copulation</w:t>
      </w:r>
      <w:r w:rsidR="00605569">
        <w:t xml:space="preserve"> </w:t>
      </w:r>
      <w:r>
        <w:t>(article 2 par. 3 du décret).</w:t>
      </w:r>
    </w:p>
    <w:p w:rsidR="003206D8" w:rsidRDefault="003206D8" w:rsidP="00605569">
      <w:pPr>
        <w:pStyle w:val="JuPara"/>
      </w:pPr>
      <w:r>
        <w:t>Les requérants prétendent cependant</w:t>
      </w:r>
      <w:r w:rsidR="00605569">
        <w:t xml:space="preserve"> qu</w:t>
      </w:r>
      <w:r w:rsidR="003848D0">
        <w:t>’</w:t>
      </w:r>
      <w:r w:rsidR="00605569">
        <w:t xml:space="preserve">en pratique on utilise très </w:t>
      </w:r>
      <w:r>
        <w:t>souvent un vocabulaire vulgaire.</w:t>
      </w:r>
      <w:r w:rsidR="003848D0">
        <w:t xml:space="preserve"> </w:t>
      </w:r>
      <w:r>
        <w:t>Ils se réfèrent à un livre de</w:t>
      </w:r>
      <w:r w:rsidR="00605569">
        <w:t xml:space="preserve"> </w:t>
      </w:r>
      <w:r w:rsidRPr="00605569">
        <w:rPr>
          <w:lang w:val="da-DK"/>
        </w:rPr>
        <w:t>Bent</w:t>
      </w:r>
      <w:r>
        <w:t xml:space="preserve"> H. </w:t>
      </w:r>
      <w:r w:rsidRPr="00605569">
        <w:rPr>
          <w:lang w:val="da-DK"/>
        </w:rPr>
        <w:t>Claësson</w:t>
      </w:r>
      <w:r>
        <w:t>, intitulé "</w:t>
      </w:r>
      <w:r w:rsidRPr="00605569">
        <w:rPr>
          <w:lang w:val="da-DK"/>
        </w:rPr>
        <w:t>Dreng</w:t>
      </w:r>
      <w:r>
        <w:t xml:space="preserve"> </w:t>
      </w:r>
      <w:r w:rsidRPr="00605569">
        <w:rPr>
          <w:lang w:val="da-DK"/>
        </w:rPr>
        <w:t>og</w:t>
      </w:r>
      <w:r>
        <w:t xml:space="preserve"> Pige, </w:t>
      </w:r>
      <w:r w:rsidRPr="00605569">
        <w:rPr>
          <w:lang w:val="da-DK"/>
        </w:rPr>
        <w:t>Mand</w:t>
      </w:r>
      <w:r>
        <w:t xml:space="preserve"> </w:t>
      </w:r>
      <w:r w:rsidRPr="00605569">
        <w:rPr>
          <w:lang w:val="da-DK"/>
        </w:rPr>
        <w:t>og</w:t>
      </w:r>
      <w:r>
        <w:t xml:space="preserve"> </w:t>
      </w:r>
      <w:r w:rsidRPr="00605569">
        <w:rPr>
          <w:lang w:val="da-DK"/>
        </w:rPr>
        <w:t>Kvinde</w:t>
      </w:r>
      <w:r>
        <w:t>" ("Garçon et</w:t>
      </w:r>
      <w:r w:rsidR="00605569">
        <w:t xml:space="preserve"> </w:t>
      </w:r>
      <w:r>
        <w:t>fille, homme et femme") et dont 55.000 exemplaires ont été vendus au</w:t>
      </w:r>
      <w:r w:rsidR="00605569">
        <w:t xml:space="preserve"> </w:t>
      </w:r>
      <w:r>
        <w:t>Danemark.</w:t>
      </w:r>
      <w:r w:rsidR="003848D0">
        <w:t xml:space="preserve"> </w:t>
      </w:r>
      <w:r>
        <w:t>Selon eux, il emploie fréquemment un vocabulaire vulgaire,</w:t>
      </w:r>
      <w:r w:rsidR="00605569">
        <w:t xml:space="preserve"> </w:t>
      </w:r>
      <w:r>
        <w:t>explique les techniques de copulation et contient des photographies</w:t>
      </w:r>
      <w:r w:rsidR="00605569">
        <w:t xml:space="preserve"> </w:t>
      </w:r>
      <w:r>
        <w:t>représentant des situations érotiques.</w:t>
      </w:r>
    </w:p>
    <w:p w:rsidR="003206D8" w:rsidRDefault="003206D8" w:rsidP="004A4FA3">
      <w:pPr>
        <w:pStyle w:val="JuPara"/>
      </w:pPr>
      <w:r>
        <w:t>30.</w:t>
      </w:r>
      <w:r w:rsidR="003848D0">
        <w:t xml:space="preserve"> </w:t>
      </w:r>
      <w:r>
        <w:t>En ce qui concerne les relations e</w:t>
      </w:r>
      <w:r w:rsidR="004A4FA3">
        <w:t>ntre l</w:t>
      </w:r>
      <w:r w:rsidR="003848D0">
        <w:t>’</w:t>
      </w:r>
      <w:r w:rsidR="004A4FA3">
        <w:t xml:space="preserve">école et les parents, le </w:t>
      </w:r>
      <w:r>
        <w:t>guide relève notamment:</w:t>
      </w:r>
    </w:p>
    <w:p w:rsidR="003206D8" w:rsidRDefault="003206D8" w:rsidP="004A4FA3">
      <w:pPr>
        <w:pStyle w:val="JuQuot"/>
      </w:pPr>
      <w:r>
        <w:t>"Pour arriver à conjuguer l</w:t>
      </w:r>
      <w:r w:rsidR="003848D0">
        <w:t>’</w:t>
      </w:r>
      <w:r>
        <w:t>éducation sexuelle à l</w:t>
      </w:r>
      <w:r w:rsidR="003848D0">
        <w:t>’</w:t>
      </w:r>
      <w:r>
        <w:t>école avec celle</w:t>
      </w:r>
      <w:r w:rsidR="004A4FA3">
        <w:t xml:space="preserve"> </w:t>
      </w:r>
      <w:r>
        <w:t>qui est fournie à la maison, il conviendra de tenir les parents au</w:t>
      </w:r>
      <w:r w:rsidR="004A4FA3">
        <w:t xml:space="preserve"> </w:t>
      </w:r>
      <w:r>
        <w:t>courant des modalités et de l</w:t>
      </w:r>
      <w:r w:rsidR="003848D0">
        <w:t>’</w:t>
      </w:r>
      <w:r>
        <w:t>étendue de l</w:t>
      </w:r>
      <w:r w:rsidR="003848D0">
        <w:t>’</w:t>
      </w:r>
      <w:r>
        <w:t>éducation sexuelle donnée</w:t>
      </w:r>
      <w:r w:rsidR="004A4FA3">
        <w:t xml:space="preserve"> </w:t>
      </w:r>
      <w:r>
        <w:t>par l</w:t>
      </w:r>
      <w:r w:rsidR="003848D0">
        <w:t>’</w:t>
      </w:r>
      <w:r>
        <w:t>école.</w:t>
      </w:r>
      <w:r w:rsidR="003848D0">
        <w:t xml:space="preserve"> </w:t>
      </w:r>
      <w:r>
        <w:t>Les réunions des parents de la classe sont un bon moyen</w:t>
      </w:r>
      <w:r w:rsidR="004A4FA3">
        <w:t xml:space="preserve"> </w:t>
      </w:r>
      <w:r>
        <w:t>d</w:t>
      </w:r>
      <w:r w:rsidR="003848D0">
        <w:t>’</w:t>
      </w:r>
      <w:r>
        <w:t>établir ce contact entre l</w:t>
      </w:r>
      <w:r w:rsidR="003848D0">
        <w:t>’</w:t>
      </w:r>
      <w:r>
        <w:t>école et les parents.</w:t>
      </w:r>
      <w:r w:rsidR="003848D0">
        <w:t xml:space="preserve"> </w:t>
      </w:r>
      <w:r>
        <w:t>Ces conversations</w:t>
      </w:r>
      <w:r w:rsidR="004A4FA3">
        <w:t xml:space="preserve"> </w:t>
      </w:r>
      <w:r>
        <w:t>offriront l</w:t>
      </w:r>
      <w:r w:rsidR="003848D0">
        <w:t>’</w:t>
      </w:r>
      <w:r>
        <w:t>occasion d</w:t>
      </w:r>
      <w:r w:rsidR="003848D0">
        <w:t>’</w:t>
      </w:r>
      <w:r>
        <w:t>insister sur l</w:t>
      </w:r>
      <w:r w:rsidR="003848D0">
        <w:t>’</w:t>
      </w:r>
      <w:r>
        <w:t>objet de l</w:t>
      </w:r>
      <w:r w:rsidR="003848D0">
        <w:t>’</w:t>
      </w:r>
      <w:r>
        <w:t>instruction sexuelle</w:t>
      </w:r>
      <w:r w:rsidR="004A4FA3">
        <w:t xml:space="preserve"> </w:t>
      </w:r>
      <w:r>
        <w:t>à l</w:t>
      </w:r>
      <w:r w:rsidR="003848D0">
        <w:t>’</w:t>
      </w:r>
      <w:r>
        <w:t>école et de préciser aux parents que l</w:t>
      </w:r>
      <w:r w:rsidR="003848D0">
        <w:t>’</w:t>
      </w:r>
      <w:r>
        <w:t>école n</w:t>
      </w:r>
      <w:r w:rsidR="003848D0">
        <w:t>’</w:t>
      </w:r>
      <w:r>
        <w:t>entend pas leur</w:t>
      </w:r>
      <w:r w:rsidR="004A4FA3">
        <w:t xml:space="preserve"> </w:t>
      </w:r>
      <w:r>
        <w:t>retirer quoi que ce soit, mais au contraire instaurer (...) une</w:t>
      </w:r>
      <w:r w:rsidR="004A4FA3">
        <w:t xml:space="preserve"> </w:t>
      </w:r>
      <w:r>
        <w:t>coopération bénéfique pour tous les intéressés.</w:t>
      </w:r>
      <w:r w:rsidR="003848D0">
        <w:t xml:space="preserve"> </w:t>
      </w:r>
      <w:r>
        <w:t>On peut aussi faire</w:t>
      </w:r>
      <w:r w:rsidR="004A4FA3">
        <w:t xml:space="preserve"> </w:t>
      </w:r>
      <w:r>
        <w:t>observer aux parents que l</w:t>
      </w:r>
      <w:r w:rsidR="003848D0">
        <w:t>’</w:t>
      </w:r>
      <w:r>
        <w:t>éducation intégrée permet d</w:t>
      </w:r>
      <w:r w:rsidR="003848D0">
        <w:t>’</w:t>
      </w:r>
      <w:r>
        <w:t>aborder la</w:t>
      </w:r>
      <w:r w:rsidR="004A4FA3">
        <w:t xml:space="preserve"> </w:t>
      </w:r>
      <w:r>
        <w:t>question dans les situations exactes où elle se pose naturellement</w:t>
      </w:r>
      <w:r w:rsidR="004A4FA3">
        <w:t xml:space="preserve"> </w:t>
      </w:r>
      <w:r>
        <w:t>dans les autres domaines d</w:t>
      </w:r>
      <w:r w:rsidR="003848D0">
        <w:t>’</w:t>
      </w:r>
      <w:r>
        <w:t>instruction et que, d</w:t>
      </w:r>
      <w:r w:rsidR="003848D0">
        <w:t>’</w:t>
      </w:r>
      <w:r>
        <w:t>une manière générale,</w:t>
      </w:r>
      <w:r w:rsidR="004A4FA3">
        <w:t xml:space="preserve"> </w:t>
      </w:r>
      <w:r>
        <w:t>cela n</w:t>
      </w:r>
      <w:r w:rsidR="003848D0">
        <w:t>’</w:t>
      </w:r>
      <w:r>
        <w:t>est possible que si l</w:t>
      </w:r>
      <w:r w:rsidR="003848D0">
        <w:t>’</w:t>
      </w:r>
      <w:r>
        <w:t>éducation sexuelle est obligatoire pour</w:t>
      </w:r>
      <w:r w:rsidR="004A4FA3">
        <w:t xml:space="preserve"> </w:t>
      </w:r>
      <w:r>
        <w:t>les élèves (...).</w:t>
      </w:r>
      <w:r w:rsidR="003848D0">
        <w:t xml:space="preserve"> </w:t>
      </w:r>
      <w:r>
        <w:t>En outre, le maître d</w:t>
      </w:r>
      <w:r w:rsidR="003848D0">
        <w:t>’</w:t>
      </w:r>
      <w:r>
        <w:t>école pourra, par ses contacts</w:t>
      </w:r>
      <w:r w:rsidR="004A4FA3">
        <w:t xml:space="preserve"> </w:t>
      </w:r>
      <w:r>
        <w:t>avec les familles en apprendre suffisamment sur l</w:t>
      </w:r>
      <w:r w:rsidR="003848D0">
        <w:t>’</w:t>
      </w:r>
      <w:r>
        <w:t>attitude des parents</w:t>
      </w:r>
      <w:r w:rsidR="004A4FA3">
        <w:t xml:space="preserve"> </w:t>
      </w:r>
      <w:r>
        <w:t>envers l</w:t>
      </w:r>
      <w:r w:rsidR="003848D0">
        <w:t>’</w:t>
      </w:r>
      <w:r>
        <w:t>école, comme envers leur enfant et ses problèmes particuliers.</w:t>
      </w:r>
      <w:r w:rsidR="004A4FA3">
        <w:t xml:space="preserve"> </w:t>
      </w:r>
      <w:r>
        <w:t>En parlant de l</w:t>
      </w:r>
      <w:r w:rsidR="003848D0">
        <w:t>’</w:t>
      </w:r>
      <w:r>
        <w:t>éducation sexuelle dispensée par l</w:t>
      </w:r>
      <w:r w:rsidR="003848D0">
        <w:t>’</w:t>
      </w:r>
      <w:r>
        <w:t>école, on amènera</w:t>
      </w:r>
      <w:r w:rsidR="004A4FA3">
        <w:t xml:space="preserve"> </w:t>
      </w:r>
      <w:r>
        <w:t>souvent les parents sceptiques à comprendre qu</w:t>
      </w:r>
      <w:r w:rsidR="003848D0">
        <w:t>’</w:t>
      </w:r>
      <w:r>
        <w:t>une coopération entre</w:t>
      </w:r>
      <w:r w:rsidR="004A4FA3">
        <w:t xml:space="preserve"> </w:t>
      </w:r>
      <w:r>
        <w:t>l</w:t>
      </w:r>
      <w:r w:rsidR="003848D0">
        <w:t>’</w:t>
      </w:r>
      <w:r>
        <w:t>école et la famille se just</w:t>
      </w:r>
      <w:r w:rsidR="004A4FA3">
        <w:t xml:space="preserve">ifie dans ce </w:t>
      </w:r>
      <w:r>
        <w:t>domaine également.</w:t>
      </w:r>
      <w:r w:rsidR="003848D0">
        <w:t xml:space="preserve"> </w:t>
      </w:r>
      <w:r>
        <w:t>Certains</w:t>
      </w:r>
      <w:r w:rsidR="004A4FA3">
        <w:t xml:space="preserve"> </w:t>
      </w:r>
      <w:r>
        <w:t>enfants peuvent avoir des exigences particulières ou requérir une</w:t>
      </w:r>
      <w:r w:rsidR="004A4FA3">
        <w:t xml:space="preserve"> </w:t>
      </w:r>
      <w:r>
        <w:t>attention spéciale, et ce sont souvent leurs parents qu</w:t>
      </w:r>
      <w:r w:rsidR="003848D0">
        <w:t>’</w:t>
      </w:r>
      <w:r>
        <w:t>il sera</w:t>
      </w:r>
      <w:r w:rsidR="004A4FA3">
        <w:t xml:space="preserve"> </w:t>
      </w:r>
      <w:r>
        <w:t>difficile de toucher.</w:t>
      </w:r>
      <w:r w:rsidR="003848D0">
        <w:t xml:space="preserve"> </w:t>
      </w:r>
      <w:r>
        <w:t>Le maître devra bien voir cette difficulté.</w:t>
      </w:r>
      <w:r w:rsidR="004A4FA3">
        <w:t xml:space="preserve"> Lorsque enseignants</w:t>
      </w:r>
      <w:r>
        <w:t>, familles et enfants en seront progressivement</w:t>
      </w:r>
      <w:r w:rsidR="004A4FA3">
        <w:t xml:space="preserve"> </w:t>
      </w:r>
      <w:r>
        <w:t>venus à se connaître les uns les autres, il pourra s</w:t>
      </w:r>
      <w:r w:rsidR="003848D0">
        <w:t>’</w:t>
      </w:r>
      <w:r>
        <w:t>instaurer des</w:t>
      </w:r>
      <w:r w:rsidR="004A4FA3">
        <w:t xml:space="preserve"> </w:t>
      </w:r>
      <w:r>
        <w:t>rapports de confiance qui permettront d</w:t>
      </w:r>
      <w:r w:rsidR="003848D0">
        <w:t>’</w:t>
      </w:r>
      <w:r>
        <w:t>entamer l</w:t>
      </w:r>
      <w:r w:rsidR="003848D0">
        <w:t>’</w:t>
      </w:r>
      <w:r>
        <w:t>éducation sexuelle à</w:t>
      </w:r>
      <w:r w:rsidR="004A4FA3">
        <w:t xml:space="preserve"> </w:t>
      </w:r>
      <w:r>
        <w:t>la satisfaction de tous."</w:t>
      </w:r>
    </w:p>
    <w:p w:rsidR="003206D8" w:rsidRDefault="003206D8" w:rsidP="004A4FA3">
      <w:pPr>
        <w:pStyle w:val="JuPara"/>
      </w:pPr>
      <w:r>
        <w:t>31.</w:t>
      </w:r>
      <w:r w:rsidR="003848D0">
        <w:t xml:space="preserve"> </w:t>
      </w:r>
      <w:r>
        <w:t>Le décret ministériel n</w:t>
      </w:r>
      <w:r w:rsidR="003848D0" w:rsidRPr="003848D0">
        <w:rPr>
          <w:vertAlign w:val="superscript"/>
        </w:rPr>
        <w:t>o</w:t>
      </w:r>
      <w:r>
        <w:t xml:space="preserve"> 313 du 15 ju</w:t>
      </w:r>
      <w:r w:rsidR="004A4FA3">
        <w:t xml:space="preserve">in 1972, entré en vigueur le </w:t>
      </w:r>
      <w:r>
        <w:t>1er août 1972, a abrogé celui du 8 juin 1971.</w:t>
      </w:r>
      <w:r w:rsidR="003848D0">
        <w:t xml:space="preserve"> </w:t>
      </w:r>
      <w:r>
        <w:t>En voici le texte:</w:t>
      </w:r>
    </w:p>
    <w:p w:rsidR="003206D8" w:rsidRDefault="003206D8" w:rsidP="00C619F8">
      <w:pPr>
        <w:pStyle w:val="JuHArticle"/>
      </w:pPr>
      <w:r>
        <w:t>"Article 1</w:t>
      </w:r>
    </w:p>
    <w:p w:rsidR="003206D8" w:rsidRDefault="003206D8" w:rsidP="004A4FA3">
      <w:pPr>
        <w:pStyle w:val="JuQuot"/>
      </w:pPr>
      <w:r>
        <w:t>(1) L</w:t>
      </w:r>
      <w:r w:rsidR="003848D0">
        <w:t>’</w:t>
      </w:r>
      <w:r>
        <w:t>éducation sexuelle dans les écol</w:t>
      </w:r>
      <w:r w:rsidR="004A4FA3">
        <w:t xml:space="preserve">es publiques a pour objectif de </w:t>
      </w:r>
      <w:r>
        <w:t>dispenser aux élèves des informations sur la sexualité qui leur</w:t>
      </w:r>
      <w:r w:rsidR="004A4FA3">
        <w:t xml:space="preserve"> </w:t>
      </w:r>
      <w:r>
        <w:t>permettent de s</w:t>
      </w:r>
      <w:r w:rsidR="003848D0">
        <w:t>’</w:t>
      </w:r>
      <w:r>
        <w:t>assumer et de montrer des égards pour autrui dans ce</w:t>
      </w:r>
      <w:r w:rsidR="004A4FA3">
        <w:t xml:space="preserve"> </w:t>
      </w:r>
      <w:r>
        <w:t>domaine.</w:t>
      </w:r>
    </w:p>
    <w:p w:rsidR="003206D8" w:rsidRDefault="003206D8" w:rsidP="004A4FA3">
      <w:pPr>
        <w:pStyle w:val="JuQuot"/>
      </w:pPr>
      <w:r>
        <w:t>(2) Les établissements scolair</w:t>
      </w:r>
      <w:r w:rsidR="004A4FA3">
        <w:t xml:space="preserve">es sont donc tenus, au minimum, </w:t>
      </w:r>
      <w:r>
        <w:t>d</w:t>
      </w:r>
      <w:r w:rsidR="003848D0">
        <w:t>’</w:t>
      </w:r>
      <w:r>
        <w:t>inculquer aux élèves des notions sur l</w:t>
      </w:r>
      <w:r w:rsidR="003848D0">
        <w:t>’</w:t>
      </w:r>
      <w:r>
        <w:t>anatomie des organes de</w:t>
      </w:r>
      <w:r w:rsidR="004A4FA3">
        <w:t xml:space="preserve"> </w:t>
      </w:r>
      <w:r>
        <w:t>reproduction, la conception, la contraception et les maladies</w:t>
      </w:r>
      <w:r w:rsidR="004A4FA3">
        <w:t xml:space="preserve"> </w:t>
      </w:r>
      <w:r>
        <w:t>vénériennes, qui leur permettron</w:t>
      </w:r>
      <w:r w:rsidR="004A4FA3">
        <w:t>t plus tard de ne pas s</w:t>
      </w:r>
      <w:r w:rsidR="003848D0">
        <w:t>’</w:t>
      </w:r>
      <w:r w:rsidR="004A4FA3">
        <w:t xml:space="preserve">attirer </w:t>
      </w:r>
      <w:r>
        <w:t>d</w:t>
      </w:r>
      <w:r w:rsidR="003848D0">
        <w:t>’</w:t>
      </w:r>
      <w:r>
        <w:t>ennuis ou de ne pas en attirer à d</w:t>
      </w:r>
      <w:r w:rsidR="003848D0">
        <w:t>’</w:t>
      </w:r>
      <w:r>
        <w:t>autres par pure ignorance.</w:t>
      </w:r>
      <w:r w:rsidR="004A4FA3">
        <w:t xml:space="preserve"> </w:t>
      </w:r>
      <w:r>
        <w:t>Des objectifs supplémentaires et plus vastes peuvent être définis dans</w:t>
      </w:r>
      <w:r w:rsidR="004A4FA3">
        <w:t xml:space="preserve"> </w:t>
      </w:r>
      <w:r>
        <w:t>le cadre de ceux fixés au paragraphe 1 ci-dessus.</w:t>
      </w:r>
    </w:p>
    <w:p w:rsidR="003206D8" w:rsidRDefault="003206D8" w:rsidP="004A4FA3">
      <w:pPr>
        <w:pStyle w:val="JuQuot"/>
      </w:pPr>
      <w:r>
        <w:t>(3) L</w:t>
      </w:r>
      <w:r w:rsidR="003848D0">
        <w:t>’</w:t>
      </w:r>
      <w:r>
        <w:t>éducation sexuelle débute au plu</w:t>
      </w:r>
      <w:r w:rsidR="004A4FA3">
        <w:t xml:space="preserve">s tard en troisième année; elle </w:t>
      </w:r>
      <w:r>
        <w:t>est dispensée dans le cadre des matières scolaires communes, en</w:t>
      </w:r>
      <w:r w:rsidR="004A4FA3">
        <w:t xml:space="preserve"> </w:t>
      </w:r>
      <w:r>
        <w:t>particulier le danois, le christianisme, la biologie (hygiène),</w:t>
      </w:r>
      <w:r w:rsidR="004A4FA3">
        <w:t xml:space="preserve"> </w:t>
      </w:r>
      <w:r>
        <w:t>l</w:t>
      </w:r>
      <w:r w:rsidR="003848D0">
        <w:t>’</w:t>
      </w:r>
      <w:r>
        <w:t>histoire (éducation civique) et l</w:t>
      </w:r>
      <w:r w:rsidR="003848D0">
        <w:t>’</w:t>
      </w:r>
      <w:r>
        <w:t>instruction familiale.</w:t>
      </w:r>
      <w:r w:rsidR="003848D0">
        <w:t xml:space="preserve"> </w:t>
      </w:r>
      <w:r>
        <w:t>On peut</w:t>
      </w:r>
      <w:r w:rsidR="004A4FA3">
        <w:t xml:space="preserve"> </w:t>
      </w:r>
      <w:r>
        <w:t>aussi, en sixième ou septième et neuvième années, donner un aperçu</w:t>
      </w:r>
      <w:r w:rsidR="004A4FA3">
        <w:t xml:space="preserve"> </w:t>
      </w:r>
      <w:r>
        <w:t>d</w:t>
      </w:r>
      <w:r w:rsidR="003848D0">
        <w:t>’</w:t>
      </w:r>
      <w:r>
        <w:t>ensemble des principaux sujets relevant de l</w:t>
      </w:r>
      <w:r w:rsidR="003848D0">
        <w:t>’</w:t>
      </w:r>
      <w:r>
        <w:t>éducation sexuelle.</w:t>
      </w:r>
    </w:p>
    <w:p w:rsidR="003206D8" w:rsidRDefault="003206D8" w:rsidP="00C619F8">
      <w:pPr>
        <w:pStyle w:val="JuHArticle"/>
      </w:pPr>
      <w:r>
        <w:t>Article 2</w:t>
      </w:r>
    </w:p>
    <w:p w:rsidR="003206D8" w:rsidRDefault="003206D8" w:rsidP="004A4FA3">
      <w:pPr>
        <w:pStyle w:val="JuQuot"/>
      </w:pPr>
      <w:r>
        <w:t>Les modalités et l</w:t>
      </w:r>
      <w:r w:rsidR="003848D0">
        <w:t>’</w:t>
      </w:r>
      <w:r>
        <w:t>importance de l</w:t>
      </w:r>
      <w:r w:rsidR="003848D0">
        <w:t>’</w:t>
      </w:r>
      <w:r>
        <w:t>é</w:t>
      </w:r>
      <w:r w:rsidR="004A4FA3">
        <w:t xml:space="preserve">ducation sexuelle sont définies </w:t>
      </w:r>
      <w:r>
        <w:t>dans le programme d</w:t>
      </w:r>
      <w:r w:rsidR="003848D0">
        <w:t>’</w:t>
      </w:r>
      <w:r>
        <w:t>études ou conformément à celui-ci.</w:t>
      </w:r>
      <w:r w:rsidR="003848D0">
        <w:t xml:space="preserve"> </w:t>
      </w:r>
      <w:r>
        <w:t>Si l</w:t>
      </w:r>
      <w:r w:rsidR="003848D0">
        <w:t>’</w:t>
      </w:r>
      <w:r>
        <w:t>on</w:t>
      </w:r>
      <w:r w:rsidR="004A4FA3">
        <w:t xml:space="preserve"> </w:t>
      </w:r>
      <w:r>
        <w:t>assure l</w:t>
      </w:r>
      <w:r w:rsidR="003848D0">
        <w:t>’</w:t>
      </w:r>
      <w:r>
        <w:t>enseignement particulier visé à l</w:t>
      </w:r>
      <w:r w:rsidR="003848D0">
        <w:t>’</w:t>
      </w:r>
      <w:r>
        <w:t>article 1 par. 3, seconde</w:t>
      </w:r>
      <w:r w:rsidR="004A4FA3">
        <w:t xml:space="preserve"> </w:t>
      </w:r>
      <w:r>
        <w:t>phrase, il sera réservé à cet effet un petit nombre de leçons pendant</w:t>
      </w:r>
      <w:r w:rsidR="004A4FA3">
        <w:t xml:space="preserve"> </w:t>
      </w:r>
      <w:r>
        <w:t>les années considérées.</w:t>
      </w:r>
    </w:p>
    <w:p w:rsidR="003206D8" w:rsidRDefault="003206D8" w:rsidP="00C619F8">
      <w:pPr>
        <w:pStyle w:val="JuHArticle"/>
      </w:pPr>
      <w:r>
        <w:t>Article 3</w:t>
      </w:r>
    </w:p>
    <w:p w:rsidR="003206D8" w:rsidRDefault="003206D8" w:rsidP="004A4FA3">
      <w:pPr>
        <w:pStyle w:val="JuQuot"/>
      </w:pPr>
      <w:r>
        <w:t>(1) L</w:t>
      </w:r>
      <w:r w:rsidR="003848D0">
        <w:t>’</w:t>
      </w:r>
      <w:r>
        <w:t>éducation sexuelle est dispensée par les professeur</w:t>
      </w:r>
      <w:r w:rsidR="004A4FA3">
        <w:t xml:space="preserve">s chargés </w:t>
      </w:r>
      <w:r>
        <w:t>d</w:t>
      </w:r>
      <w:r w:rsidR="003848D0">
        <w:t>’</w:t>
      </w:r>
      <w:r>
        <w:t>enseigner les matières auxquelles elle est intégrée dans la classe</w:t>
      </w:r>
      <w:r w:rsidR="004A4FA3">
        <w:t xml:space="preserve"> </w:t>
      </w:r>
      <w:r>
        <w:t>considérée, selon les instructions du chef d</w:t>
      </w:r>
      <w:r w:rsidR="003848D0">
        <w:t>’</w:t>
      </w:r>
      <w:r>
        <w:t>établissement.</w:t>
      </w:r>
      <w:r w:rsidR="004A4FA3">
        <w:t xml:space="preserve"> </w:t>
      </w:r>
      <w:r>
        <w:t>S</w:t>
      </w:r>
      <w:r w:rsidR="003848D0">
        <w:t>’</w:t>
      </w:r>
      <w:r>
        <w:t>il ne ressort pas du programme d</w:t>
      </w:r>
      <w:r w:rsidR="003848D0">
        <w:t>’</w:t>
      </w:r>
      <w:r>
        <w:t>études à quelles matières se</w:t>
      </w:r>
      <w:r w:rsidR="004A4FA3">
        <w:t xml:space="preserve"> </w:t>
      </w:r>
      <w:r>
        <w:t>rattachent les divers sujets d</w:t>
      </w:r>
      <w:r w:rsidR="003848D0">
        <w:t>’</w:t>
      </w:r>
      <w:r>
        <w:t>enseignement, les enseignants de la</w:t>
      </w:r>
      <w:r w:rsidR="004A4FA3">
        <w:t xml:space="preserve"> </w:t>
      </w:r>
      <w:r>
        <w:t>classe se répartissent les tâches en tant que de besoin conformément à</w:t>
      </w:r>
      <w:r w:rsidR="004A4FA3">
        <w:t xml:space="preserve"> </w:t>
      </w:r>
      <w:r>
        <w:t>l</w:t>
      </w:r>
      <w:r w:rsidR="003848D0">
        <w:t>’</w:t>
      </w:r>
      <w:r>
        <w:t>avis du conseil d</w:t>
      </w:r>
      <w:r w:rsidR="003848D0">
        <w:t>’</w:t>
      </w:r>
      <w:r>
        <w:t>enseignants, avis qui doit être approuvé par le</w:t>
      </w:r>
      <w:r w:rsidR="004A4FA3">
        <w:t xml:space="preserve"> </w:t>
      </w:r>
      <w:r>
        <w:t>conseil d</w:t>
      </w:r>
      <w:r w:rsidR="003848D0">
        <w:t>’</w:t>
      </w:r>
      <w:r>
        <w:t>école conformément à l</w:t>
      </w:r>
      <w:r w:rsidR="003848D0">
        <w:t>’</w:t>
      </w:r>
      <w:r>
        <w:t>article 27 par. 5 de la loi sur</w:t>
      </w:r>
      <w:r w:rsidR="004A4FA3">
        <w:t xml:space="preserve"> </w:t>
      </w:r>
      <w:r>
        <w:t>l</w:t>
      </w:r>
      <w:r w:rsidR="003848D0">
        <w:t>’</w:t>
      </w:r>
      <w:r>
        <w:t>administration scolaire.</w:t>
      </w:r>
    </w:p>
    <w:p w:rsidR="003206D8" w:rsidRDefault="003206D8" w:rsidP="004A4FA3">
      <w:pPr>
        <w:pStyle w:val="JuQuot"/>
      </w:pPr>
      <w:r>
        <w:t>(2) On ne peut contraindre un enseig</w:t>
      </w:r>
      <w:r w:rsidR="004A4FA3">
        <w:t xml:space="preserve">nant à dispenser contre son gré </w:t>
      </w:r>
      <w:r>
        <w:t>l</w:t>
      </w:r>
      <w:r w:rsidR="003848D0">
        <w:t>’</w:t>
      </w:r>
      <w:r>
        <w:t>enseignement particulier visé à l</w:t>
      </w:r>
      <w:r w:rsidR="003848D0">
        <w:t>’</w:t>
      </w:r>
      <w:r>
        <w:t>article 1 par. 3, seconde phrase.</w:t>
      </w:r>
      <w:r w:rsidR="004A4FA3">
        <w:t xml:space="preserve"> </w:t>
      </w:r>
      <w:r>
        <w:t>L</w:t>
      </w:r>
      <w:r w:rsidR="003848D0">
        <w:t>’</w:t>
      </w:r>
      <w:r>
        <w:t>enseignant n</w:t>
      </w:r>
      <w:r w:rsidR="003848D0">
        <w:t>’</w:t>
      </w:r>
      <w:r>
        <w:t>est pas tenu non plus d</w:t>
      </w:r>
      <w:r w:rsidR="003848D0">
        <w:t>’</w:t>
      </w:r>
      <w:r>
        <w:t>apprendre aux élèves les</w:t>
      </w:r>
      <w:r w:rsidR="004A4FA3">
        <w:t xml:space="preserve"> </w:t>
      </w:r>
      <w:r>
        <w:t>techniques de copulation ni d</w:t>
      </w:r>
      <w:r w:rsidR="003848D0">
        <w:t>’</w:t>
      </w:r>
      <w:r>
        <w:t>utiliser des photographies représentant</w:t>
      </w:r>
      <w:r w:rsidR="004A4FA3">
        <w:t xml:space="preserve"> </w:t>
      </w:r>
      <w:r>
        <w:t>des situations érotiques.</w:t>
      </w:r>
    </w:p>
    <w:p w:rsidR="003206D8" w:rsidRDefault="003206D8" w:rsidP="00C619F8">
      <w:pPr>
        <w:pStyle w:val="JuHArticle"/>
      </w:pPr>
      <w:r>
        <w:t>Article 4</w:t>
      </w:r>
    </w:p>
    <w:p w:rsidR="003206D8" w:rsidRDefault="003206D8" w:rsidP="004A4FA3">
      <w:pPr>
        <w:pStyle w:val="JuQuot"/>
      </w:pPr>
      <w:r>
        <w:t>Les parents peuvent, en s</w:t>
      </w:r>
      <w:r w:rsidR="003848D0">
        <w:t>’</w:t>
      </w:r>
      <w:r>
        <w:t>adressant</w:t>
      </w:r>
      <w:r w:rsidR="004A4FA3">
        <w:t xml:space="preserve"> au chef d</w:t>
      </w:r>
      <w:r w:rsidR="003848D0">
        <w:t>’</w:t>
      </w:r>
      <w:r w:rsidR="004A4FA3">
        <w:t xml:space="preserve">établissement, faire </w:t>
      </w:r>
      <w:r>
        <w:t>exempter leurs enfants de l</w:t>
      </w:r>
      <w:r w:rsidR="003848D0">
        <w:t>’</w:t>
      </w:r>
      <w:r>
        <w:t>enseignement particulier visé à</w:t>
      </w:r>
      <w:r w:rsidR="004A4FA3">
        <w:t xml:space="preserve"> </w:t>
      </w:r>
      <w:r>
        <w:t>l</w:t>
      </w:r>
      <w:r w:rsidR="003848D0">
        <w:t>’</w:t>
      </w:r>
      <w:r>
        <w:t>article 1 par. 3, seconde phrase.</w:t>
      </w:r>
    </w:p>
    <w:p w:rsidR="003206D8" w:rsidRDefault="003206D8" w:rsidP="004A4FA3">
      <w:pPr>
        <w:pStyle w:val="JuQuot"/>
      </w:pPr>
      <w:r>
        <w:t>(...)."</w:t>
      </w:r>
    </w:p>
    <w:p w:rsidR="003206D8" w:rsidRDefault="003206D8" w:rsidP="004A4FA3">
      <w:pPr>
        <w:pStyle w:val="JuPara"/>
      </w:pPr>
      <w:r>
        <w:t>32.</w:t>
      </w:r>
      <w:r w:rsidR="003848D0">
        <w:t xml:space="preserve"> </w:t>
      </w:r>
      <w:r>
        <w:t>Dans une circulaire du 15 juin 197</w:t>
      </w:r>
      <w:r w:rsidR="004A4FA3">
        <w:t>2 (</w:t>
      </w:r>
      <w:r w:rsidR="004A4FA3" w:rsidRPr="004A4FA3">
        <w:rPr>
          <w:lang w:val="da-DK"/>
        </w:rPr>
        <w:t>cirkulære</w:t>
      </w:r>
      <w:r w:rsidR="004A4FA3">
        <w:t xml:space="preserve"> om </w:t>
      </w:r>
      <w:r w:rsidR="004A4FA3" w:rsidRPr="004A4FA3">
        <w:rPr>
          <w:lang w:val="da-DK"/>
        </w:rPr>
        <w:t>ændring</w:t>
      </w:r>
      <w:r w:rsidR="004A4FA3">
        <w:t xml:space="preserve"> </w:t>
      </w:r>
      <w:r w:rsidR="004A4FA3" w:rsidRPr="004A4FA3">
        <w:rPr>
          <w:lang w:val="sv-SE"/>
        </w:rPr>
        <w:t>af</w:t>
      </w:r>
      <w:r w:rsidR="004A4FA3">
        <w:t xml:space="preserve"> </w:t>
      </w:r>
      <w:r w:rsidRPr="004A4FA3">
        <w:rPr>
          <w:lang w:val="da-DK"/>
        </w:rPr>
        <w:t>reglerne</w:t>
      </w:r>
      <w:r w:rsidRPr="004A4FA3">
        <w:t xml:space="preserve"> om </w:t>
      </w:r>
      <w:r w:rsidRPr="004A4FA3">
        <w:rPr>
          <w:lang w:val="da-DK"/>
        </w:rPr>
        <w:t>seksualoplysning</w:t>
      </w:r>
      <w:r w:rsidRPr="004A4FA3">
        <w:t xml:space="preserve"> i </w:t>
      </w:r>
      <w:r w:rsidRPr="004A4FA3">
        <w:rPr>
          <w:lang w:val="da-DK"/>
        </w:rPr>
        <w:t>folkeskolen</w:t>
      </w:r>
      <w:r w:rsidRPr="004A4FA3">
        <w:t>), adressée aux mêmes</w:t>
      </w:r>
      <w:r w:rsidR="004A4FA3">
        <w:t xml:space="preserve"> </w:t>
      </w:r>
      <w:r>
        <w:t>autorités que celle du 25 juin 1970 (paragraphe 22 ci-dessus), le</w:t>
      </w:r>
      <w:r w:rsidR="004A4FA3">
        <w:t xml:space="preserve"> </w:t>
      </w:r>
      <w:r>
        <w:t>ministre de l</w:t>
      </w:r>
      <w:r w:rsidR="003848D0">
        <w:t>’</w:t>
      </w:r>
      <w:r>
        <w:t>éducation déclare que le nouveau décret a pour but</w:t>
      </w:r>
      <w:r w:rsidR="004A4FA3">
        <w:t xml:space="preserve"> </w:t>
      </w:r>
      <w:r>
        <w:t>d</w:t>
      </w:r>
      <w:r w:rsidR="003848D0">
        <w:t>’</w:t>
      </w:r>
      <w:r>
        <w:t>accorder aux autorités scolaires locales, et par voie de conséquence</w:t>
      </w:r>
      <w:r w:rsidR="004A4FA3">
        <w:t xml:space="preserve"> </w:t>
      </w:r>
      <w:r>
        <w:t>aux parents, une plus grande influence sur l</w:t>
      </w:r>
      <w:r w:rsidR="003848D0">
        <w:t>’</w:t>
      </w:r>
      <w:r>
        <w:t>organisation de</w:t>
      </w:r>
      <w:r w:rsidR="004A4FA3">
        <w:t xml:space="preserve"> </w:t>
      </w:r>
      <w:r>
        <w:t>l</w:t>
      </w:r>
      <w:r w:rsidR="003848D0">
        <w:t>’</w:t>
      </w:r>
      <w:r>
        <w:t>enseignement dont il s</w:t>
      </w:r>
      <w:r w:rsidR="003848D0">
        <w:t>’</w:t>
      </w:r>
      <w:r>
        <w:t>agit.</w:t>
      </w:r>
      <w:r w:rsidR="003848D0">
        <w:t xml:space="preserve"> </w:t>
      </w:r>
      <w:r>
        <w:t>D</w:t>
      </w:r>
      <w:r w:rsidR="003848D0">
        <w:t>’</w:t>
      </w:r>
      <w:r>
        <w:t>autre part, l</w:t>
      </w:r>
      <w:r w:rsidR="003848D0">
        <w:t>’</w:t>
      </w:r>
      <w:r>
        <w:t>éducation sexuelle,</w:t>
      </w:r>
      <w:r w:rsidR="004A4FA3">
        <w:t xml:space="preserve"> </w:t>
      </w:r>
      <w:r>
        <w:t>qui "continuera d</w:t>
      </w:r>
      <w:r w:rsidR="003848D0">
        <w:t>’</w:t>
      </w:r>
      <w:r>
        <w:t>être dispensée comme un enseignement essentiellement</w:t>
      </w:r>
      <w:r w:rsidR="004A4FA3">
        <w:t xml:space="preserve"> </w:t>
      </w:r>
      <w:r>
        <w:t>intégré, c</w:t>
      </w:r>
      <w:r w:rsidR="003848D0">
        <w:t>’</w:t>
      </w:r>
      <w:r>
        <w:t>est-à-dire dans le cadre des matières scolaires obligatoires",</w:t>
      </w:r>
      <w:r w:rsidR="004A4FA3">
        <w:t xml:space="preserve"> </w:t>
      </w:r>
      <w:r>
        <w:t>doit avoir un objectif plus restreint et mettre davantage l</w:t>
      </w:r>
      <w:r w:rsidR="003848D0">
        <w:t>’</w:t>
      </w:r>
      <w:r>
        <w:t>accent sur</w:t>
      </w:r>
      <w:r w:rsidR="004A4FA3">
        <w:t xml:space="preserve"> </w:t>
      </w:r>
      <w:r>
        <w:t>les données de fait.</w:t>
      </w:r>
    </w:p>
    <w:p w:rsidR="003206D8" w:rsidRDefault="003206D8" w:rsidP="006232CD">
      <w:pPr>
        <w:pStyle w:val="JuPara"/>
      </w:pPr>
      <w:r>
        <w:t>La circulaire relève que l</w:t>
      </w:r>
      <w:r w:rsidR="003848D0">
        <w:t>’</w:t>
      </w:r>
      <w:r>
        <w:t>éducatio</w:t>
      </w:r>
      <w:r w:rsidR="006232CD">
        <w:t xml:space="preserve">n sexuelle pourra dorénavant ne </w:t>
      </w:r>
      <w:r>
        <w:t>commencer qu</w:t>
      </w:r>
      <w:r w:rsidR="003848D0">
        <w:t>’</w:t>
      </w:r>
      <w:r>
        <w:t>à partir de la troisième année.</w:t>
      </w:r>
      <w:r w:rsidR="003848D0">
        <w:t xml:space="preserve"> </w:t>
      </w:r>
      <w:r>
        <w:t>Elle signale en outre</w:t>
      </w:r>
      <w:r w:rsidR="006232CD">
        <w:t xml:space="preserve"> </w:t>
      </w:r>
      <w:r>
        <w:t>que si le décret ne renvoie plus au guide - toujours en vigueur -,</w:t>
      </w:r>
      <w:r w:rsidR="006232CD">
        <w:t xml:space="preserve"> </w:t>
      </w:r>
      <w:r>
        <w:t>c</w:t>
      </w:r>
      <w:r w:rsidR="003848D0">
        <w:t>’</w:t>
      </w:r>
      <w:r>
        <w:t>est pour souligner que celui-ci constitue un simple moyen d</w:t>
      </w:r>
      <w:r w:rsidR="003848D0">
        <w:t>’</w:t>
      </w:r>
      <w:r>
        <w:t>aider</w:t>
      </w:r>
      <w:r w:rsidR="006232CD">
        <w:t xml:space="preserve"> </w:t>
      </w:r>
      <w:r>
        <w:t>les autorités scolaires locales à établir les programmes d</w:t>
      </w:r>
      <w:r w:rsidR="003848D0">
        <w:t>’</w:t>
      </w:r>
      <w:r>
        <w:t>études.</w:t>
      </w:r>
    </w:p>
    <w:p w:rsidR="003206D8" w:rsidRDefault="003206D8" w:rsidP="006232CD">
      <w:pPr>
        <w:pStyle w:val="JuPara"/>
      </w:pPr>
      <w:r>
        <w:t xml:space="preserve">La circulaire précise enfin la situation </w:t>
      </w:r>
      <w:r w:rsidR="006232CD">
        <w:t>des enseignants.</w:t>
      </w:r>
      <w:r w:rsidR="003848D0">
        <w:t xml:space="preserve"> </w:t>
      </w:r>
      <w:r w:rsidR="006232CD">
        <w:t xml:space="preserve">Si un </w:t>
      </w:r>
      <w:r>
        <w:t>professeur ne se croit pas en mesure de participer à cet enseignement</w:t>
      </w:r>
      <w:r w:rsidR="006232CD">
        <w:t xml:space="preserve"> </w:t>
      </w:r>
      <w:r>
        <w:t>d</w:t>
      </w:r>
      <w:r w:rsidR="003848D0">
        <w:t>’</w:t>
      </w:r>
      <w:r>
        <w:t>une manière satisfaisante, il doit avoir l</w:t>
      </w:r>
      <w:r w:rsidR="003848D0">
        <w:t>’</w:t>
      </w:r>
      <w:r>
        <w:t>occasion de suivre un des</w:t>
      </w:r>
      <w:r w:rsidR="006232CD">
        <w:t xml:space="preserve"> </w:t>
      </w:r>
      <w:r>
        <w:t>cours d</w:t>
      </w:r>
      <w:r w:rsidR="003848D0">
        <w:t>’</w:t>
      </w:r>
      <w:r>
        <w:t xml:space="preserve">information organisés </w:t>
      </w:r>
      <w:r w:rsidR="006232CD">
        <w:t xml:space="preserve">par le Collège de formation des </w:t>
      </w:r>
      <w:r>
        <w:t>enseignants.</w:t>
      </w:r>
      <w:r w:rsidR="003848D0">
        <w:t xml:space="preserve"> </w:t>
      </w:r>
      <w:r>
        <w:t>D</w:t>
      </w:r>
      <w:r w:rsidR="003848D0">
        <w:t>’</w:t>
      </w:r>
      <w:r>
        <w:t>autre part, le ministre recommande expressément</w:t>
      </w:r>
      <w:r w:rsidR="006232CD">
        <w:t xml:space="preserve"> </w:t>
      </w:r>
      <w:r>
        <w:t>d</w:t>
      </w:r>
      <w:r w:rsidR="003848D0">
        <w:t>’</w:t>
      </w:r>
      <w:r>
        <w:t>attacher une importance particulière aux qualifications personnelles</w:t>
      </w:r>
      <w:r w:rsidR="006232CD">
        <w:t xml:space="preserve"> </w:t>
      </w:r>
      <w:r>
        <w:t>et professionnelles des professeurs en répartissant entre eux les</w:t>
      </w:r>
      <w:r w:rsidR="006232CD">
        <w:t xml:space="preserve"> </w:t>
      </w:r>
      <w:r>
        <w:t>cours qui incluent l</w:t>
      </w:r>
      <w:r w:rsidR="003848D0">
        <w:t>’</w:t>
      </w:r>
      <w:r>
        <w:t>éducation sexuelle.</w:t>
      </w:r>
    </w:p>
    <w:p w:rsidR="003206D8" w:rsidRDefault="003206D8" w:rsidP="00850425">
      <w:pPr>
        <w:pStyle w:val="JuPara"/>
      </w:pPr>
      <w:r>
        <w:t>D</w:t>
      </w:r>
      <w:r w:rsidR="003848D0">
        <w:t>’</w:t>
      </w:r>
      <w:r>
        <w:t>après les requérants, le décret du 15 juin</w:t>
      </w:r>
      <w:r w:rsidR="00850425">
        <w:t xml:space="preserve"> 1972 aboutit à dispenser </w:t>
      </w:r>
      <w:r>
        <w:t>les professeurs de donner des cours d</w:t>
      </w:r>
      <w:r w:rsidR="003848D0">
        <w:t>’</w:t>
      </w:r>
      <w:r>
        <w:t>éducation sexuelle.</w:t>
      </w:r>
      <w:r w:rsidR="003848D0">
        <w:t xml:space="preserve"> </w:t>
      </w:r>
      <w:r>
        <w:t>En fait, le</w:t>
      </w:r>
      <w:r w:rsidR="00850425">
        <w:t xml:space="preserve"> </w:t>
      </w:r>
      <w:r>
        <w:t>ministre de l</w:t>
      </w:r>
      <w:r w:rsidR="003848D0">
        <w:t>’</w:t>
      </w:r>
      <w:r>
        <w:t>éducation l</w:t>
      </w:r>
      <w:r w:rsidR="003848D0">
        <w:t>’</w:t>
      </w:r>
      <w:r>
        <w:t>aurait adopté parce que beaucoup</w:t>
      </w:r>
      <w:r w:rsidR="00850425">
        <w:t xml:space="preserve"> </w:t>
      </w:r>
      <w:r>
        <w:t>d</w:t>
      </w:r>
      <w:r w:rsidR="003848D0">
        <w:t>’</w:t>
      </w:r>
      <w:r>
        <w:t>enseignants avaient vigoureusement protesté contre pareille</w:t>
      </w:r>
      <w:r w:rsidR="00850425">
        <w:t xml:space="preserve"> </w:t>
      </w:r>
      <w:r>
        <w:t>obligation.</w:t>
      </w:r>
    </w:p>
    <w:p w:rsidR="003206D8" w:rsidRDefault="003206D8" w:rsidP="00850425">
      <w:pPr>
        <w:pStyle w:val="JuPara"/>
      </w:pPr>
      <w:r>
        <w:t>33.</w:t>
      </w:r>
      <w:r w:rsidR="003848D0">
        <w:t xml:space="preserve"> </w:t>
      </w:r>
      <w:r>
        <w:t>Le 26 juin 1975, le parlement dan</w:t>
      </w:r>
      <w:r w:rsidR="00850425">
        <w:t xml:space="preserve">ois a voté une nouvelle loi sur </w:t>
      </w:r>
      <w:r>
        <w:t>écoles publiques (loi n</w:t>
      </w:r>
      <w:r w:rsidR="003848D0" w:rsidRPr="003848D0">
        <w:rPr>
          <w:vertAlign w:val="superscript"/>
        </w:rPr>
        <w:t>o</w:t>
      </w:r>
      <w:r>
        <w:t xml:space="preserve"> 313), qui est entrée entièrement en vigueur</w:t>
      </w:r>
      <w:r w:rsidR="00850425">
        <w:t xml:space="preserve"> </w:t>
      </w:r>
      <w:r>
        <w:t>le 1er août 1976.</w:t>
      </w:r>
      <w:r w:rsidR="003848D0">
        <w:t xml:space="preserve"> </w:t>
      </w:r>
      <w:r>
        <w:t>Elle n</w:t>
      </w:r>
      <w:r w:rsidR="003848D0">
        <w:t>’</w:t>
      </w:r>
      <w:r>
        <w:t>a toutefois amendé aucune des dispositions</w:t>
      </w:r>
      <w:r w:rsidR="00850425">
        <w:t xml:space="preserve"> </w:t>
      </w:r>
      <w:r>
        <w:t>pertinentes en l</w:t>
      </w:r>
      <w:r w:rsidR="003848D0">
        <w:t>’</w:t>
      </w:r>
      <w:r>
        <w:t>espèce: l</w:t>
      </w:r>
      <w:r w:rsidR="003848D0">
        <w:t>’</w:t>
      </w:r>
      <w:r>
        <w:t>éducation sexuelle demeure une partie</w:t>
      </w:r>
      <w:r w:rsidR="00850425">
        <w:t xml:space="preserve"> </w:t>
      </w:r>
      <w:r>
        <w:t>intégrante et obligatoire de l</w:t>
      </w:r>
      <w:r w:rsidR="003848D0">
        <w:t>’</w:t>
      </w:r>
      <w:r>
        <w:t>instruction à l</w:t>
      </w:r>
      <w:r w:rsidR="003848D0">
        <w:t>’</w:t>
      </w:r>
      <w:r>
        <w:t>école élémentaire.</w:t>
      </w:r>
      <w:r w:rsidR="00850425">
        <w:t xml:space="preserve"> </w:t>
      </w:r>
      <w:r>
        <w:t>La loi n</w:t>
      </w:r>
      <w:r w:rsidR="003848D0">
        <w:t>’</w:t>
      </w:r>
      <w:r>
        <w:t>a pas davantage modifié les anciennes règles concernant</w:t>
      </w:r>
      <w:r w:rsidR="00850425">
        <w:t xml:space="preserve"> </w:t>
      </w:r>
      <w:r>
        <w:t>l</w:t>
      </w:r>
      <w:r w:rsidR="003848D0">
        <w:t>’</w:t>
      </w:r>
      <w:r>
        <w:t>influence des parents sur l</w:t>
      </w:r>
      <w:r w:rsidR="003848D0">
        <w:t>’</w:t>
      </w:r>
      <w:r>
        <w:t>organisation et le contrôle des écoles</w:t>
      </w:r>
      <w:r w:rsidR="00850425">
        <w:t xml:space="preserve"> </w:t>
      </w:r>
      <w:r>
        <w:t>publiques.</w:t>
      </w:r>
    </w:p>
    <w:p w:rsidR="003206D8" w:rsidRDefault="003206D8" w:rsidP="00850425">
      <w:pPr>
        <w:pStyle w:val="JuPara"/>
      </w:pPr>
      <w:r>
        <w:t>Pendant l</w:t>
      </w:r>
      <w:r w:rsidR="003848D0">
        <w:t>’</w:t>
      </w:r>
      <w:r>
        <w:t>examen du projet par le parlement, le part</w:t>
      </w:r>
      <w:r w:rsidR="00850425">
        <w:t xml:space="preserve">i populaire </w:t>
      </w:r>
      <w:r>
        <w:t>chrétien avait déposé un amendement tendant à permettre aux parents de</w:t>
      </w:r>
      <w:r w:rsidR="00850425">
        <w:t xml:space="preserve"> </w:t>
      </w:r>
      <w:r>
        <w:t>demander que leurs enfants soient exemptés d</w:t>
      </w:r>
      <w:r w:rsidR="003848D0">
        <w:t>’</w:t>
      </w:r>
      <w:r>
        <w:t>éducation sexuelle.</w:t>
      </w:r>
      <w:r w:rsidR="00850425">
        <w:t xml:space="preserve"> </w:t>
      </w:r>
      <w:r>
        <w:t>L</w:t>
      </w:r>
      <w:r w:rsidR="003848D0">
        <w:t>’</w:t>
      </w:r>
      <w:r>
        <w:t>amendement a été repoussé par 103 voix contre 24.</w:t>
      </w:r>
    </w:p>
    <w:p w:rsidR="003206D8" w:rsidRDefault="003206D8" w:rsidP="00850425">
      <w:pPr>
        <w:pStyle w:val="JuPara"/>
      </w:pPr>
      <w:r>
        <w:t>34.</w:t>
      </w:r>
      <w:r w:rsidR="003848D0">
        <w:t xml:space="preserve"> </w:t>
      </w:r>
      <w:r>
        <w:t>Si l</w:t>
      </w:r>
      <w:r w:rsidR="003848D0">
        <w:t>’</w:t>
      </w:r>
      <w:r>
        <w:t>enseignement primaire dans les écoles privées</w:t>
      </w:r>
      <w:r w:rsidR="00850425">
        <w:t xml:space="preserve"> doit embrasser </w:t>
      </w:r>
      <w:r>
        <w:t>en principe toutes les matières obligatoires dans les écoles publiques</w:t>
      </w:r>
      <w:r w:rsidR="00850425">
        <w:t xml:space="preserve"> </w:t>
      </w:r>
      <w:r>
        <w:t>(paragraphe 18 ci-dessus), l</w:t>
      </w:r>
      <w:r w:rsidR="003848D0">
        <w:t>’</w:t>
      </w:r>
      <w:r>
        <w:t>éducation sexuelle constitue à cet égard</w:t>
      </w:r>
      <w:r w:rsidR="00850425">
        <w:t xml:space="preserve"> </w:t>
      </w:r>
      <w:r>
        <w:t>une exception: les écoles privées sont libres de décider elles-mêmes</w:t>
      </w:r>
      <w:r w:rsidR="00850425">
        <w:t xml:space="preserve"> </w:t>
      </w:r>
      <w:r>
        <w:t>dans quelle mesure elles veulent conformer leur enseignement dans ce</w:t>
      </w:r>
      <w:r w:rsidR="00850425">
        <w:t xml:space="preserve"> </w:t>
      </w:r>
      <w:r>
        <w:t>domaine aux règles applicables aux écoles publiques.</w:t>
      </w:r>
      <w:r w:rsidR="003848D0">
        <w:t xml:space="preserve"> </w:t>
      </w:r>
      <w:r>
        <w:t>Toutefois, elles</w:t>
      </w:r>
      <w:r w:rsidR="00850425">
        <w:t xml:space="preserve"> </w:t>
      </w:r>
      <w:r>
        <w:t>doivent inclure dans leurs programmes de biologie un cours sur la</w:t>
      </w:r>
      <w:r w:rsidR="00850425">
        <w:t xml:space="preserve"> </w:t>
      </w:r>
      <w:r>
        <w:t>reproduction chez l</w:t>
      </w:r>
      <w:r w:rsidR="003848D0">
        <w:t>’</w:t>
      </w:r>
      <w:r>
        <w:t>homme, tel qu</w:t>
      </w:r>
      <w:r w:rsidR="003848D0">
        <w:t>’</w:t>
      </w:r>
      <w:r>
        <w:t>il était obligatoire dans les écoles</w:t>
      </w:r>
      <w:r w:rsidR="00850425">
        <w:t xml:space="preserve"> </w:t>
      </w:r>
      <w:r>
        <w:t>publiques depuis 1960 (paragraphe 19 ci-dessus).</w:t>
      </w:r>
    </w:p>
    <w:p w:rsidR="003206D8" w:rsidRDefault="003206D8" w:rsidP="00850425">
      <w:pPr>
        <w:pStyle w:val="JuPara"/>
      </w:pPr>
      <w:r>
        <w:t>35.</w:t>
      </w:r>
      <w:r w:rsidR="003848D0">
        <w:t xml:space="preserve"> </w:t>
      </w:r>
      <w:r>
        <w:t>D</w:t>
      </w:r>
      <w:r w:rsidR="003848D0">
        <w:t>’</w:t>
      </w:r>
      <w:r>
        <w:t>après les requérants, l</w:t>
      </w:r>
      <w:r w:rsidR="003848D0">
        <w:t>’</w:t>
      </w:r>
      <w:r>
        <w:t>intro</w:t>
      </w:r>
      <w:r w:rsidR="00850425">
        <w:t>duction de l</w:t>
      </w:r>
      <w:r w:rsidR="003848D0">
        <w:t>’</w:t>
      </w:r>
      <w:r w:rsidR="00850425">
        <w:t xml:space="preserve">éducation sexuelle </w:t>
      </w:r>
      <w:r>
        <w:t>obligatoire ne correspondait nullement à la volonté générale de la</w:t>
      </w:r>
      <w:r w:rsidR="00850425">
        <w:t xml:space="preserve"> </w:t>
      </w:r>
      <w:r>
        <w:t>population.</w:t>
      </w:r>
      <w:r w:rsidR="003848D0">
        <w:t xml:space="preserve"> </w:t>
      </w:r>
      <w:r>
        <w:t>Un directeur d</w:t>
      </w:r>
      <w:r w:rsidR="003848D0">
        <w:t>’</w:t>
      </w:r>
      <w:r>
        <w:t>école de Nyborg aurait recueilli, dans un</w:t>
      </w:r>
      <w:r w:rsidR="00850425">
        <w:t xml:space="preserve"> </w:t>
      </w:r>
      <w:r>
        <w:t>laps de temps très court, 36.000 signatures de protestation.</w:t>
      </w:r>
      <w:r w:rsidR="003848D0">
        <w:t xml:space="preserve"> </w:t>
      </w:r>
      <w:r>
        <w:t>De même,</w:t>
      </w:r>
      <w:r w:rsidR="00850425">
        <w:t xml:space="preserve"> </w:t>
      </w:r>
      <w:r>
        <w:t>un sondage effectué par l</w:t>
      </w:r>
      <w:r w:rsidR="003848D0">
        <w:t>’</w:t>
      </w:r>
      <w:r>
        <w:t>Institut Observa et publié le 30 janvier 1972</w:t>
      </w:r>
      <w:r w:rsidR="00850425">
        <w:t xml:space="preserve"> </w:t>
      </w:r>
      <w:r>
        <w:t xml:space="preserve">par un quotidien, le </w:t>
      </w:r>
      <w:r w:rsidRPr="00850425">
        <w:rPr>
          <w:lang w:val="da-DK"/>
        </w:rPr>
        <w:t>Jyllands-Posten</w:t>
      </w:r>
      <w:r>
        <w:t>, aurait révélé que sur un</w:t>
      </w:r>
      <w:r w:rsidR="00850425">
        <w:t xml:space="preserve"> </w:t>
      </w:r>
      <w:r>
        <w:t>échantillon de 1.532 personnes de dix-huit ans ou plus, 41% se</w:t>
      </w:r>
      <w:r w:rsidR="00850425">
        <w:t xml:space="preserve"> </w:t>
      </w:r>
      <w:r>
        <w:t>prononçaient en faveur d</w:t>
      </w:r>
      <w:r w:rsidR="003848D0">
        <w:t>’</w:t>
      </w:r>
      <w:r>
        <w:t>un système facultatif, 15% refusaient toute</w:t>
      </w:r>
      <w:r w:rsidR="00850425">
        <w:t xml:space="preserve"> </w:t>
      </w:r>
      <w:r>
        <w:t>éducation sexuelle dans les écoles primaires et 35% seulement</w:t>
      </w:r>
      <w:r w:rsidR="00850425">
        <w:t xml:space="preserve"> </w:t>
      </w:r>
      <w:r>
        <w:t>approuvaient le système instauré par la loi de 1970.</w:t>
      </w:r>
    </w:p>
    <w:p w:rsidR="003206D8" w:rsidRDefault="003206D8" w:rsidP="00D62432">
      <w:pPr>
        <w:pStyle w:val="JuPara"/>
      </w:pPr>
      <w:r>
        <w:t>Selon les auteurs de deux article</w:t>
      </w:r>
      <w:r w:rsidR="00D62432">
        <w:t xml:space="preserve">s publiés en 1975 dans la revue </w:t>
      </w:r>
      <w:r>
        <w:t xml:space="preserve">médicale </w:t>
      </w:r>
      <w:r w:rsidRPr="00D62432">
        <w:rPr>
          <w:lang w:val="da-DK"/>
        </w:rPr>
        <w:t>Ugeskrift</w:t>
      </w:r>
      <w:r>
        <w:t xml:space="preserve"> for </w:t>
      </w:r>
      <w:r w:rsidR="00D62432" w:rsidRPr="00D62432">
        <w:rPr>
          <w:lang w:val="da-DK"/>
        </w:rPr>
        <w:t>Læger</w:t>
      </w:r>
      <w:r>
        <w:t xml:space="preserve"> et que la Commission a produits,</w:t>
      </w:r>
      <w:r w:rsidR="00D62432">
        <w:t xml:space="preserve"> </w:t>
      </w:r>
      <w:r>
        <w:t>l</w:t>
      </w:r>
      <w:r w:rsidR="003848D0">
        <w:t>’</w:t>
      </w:r>
      <w:r>
        <w:t>introduction de l</w:t>
      </w:r>
      <w:r w:rsidR="003848D0">
        <w:t>’</w:t>
      </w:r>
      <w:r>
        <w:t>éducation sexuelle n</w:t>
      </w:r>
      <w:r w:rsidR="003848D0">
        <w:t>’</w:t>
      </w:r>
      <w:r>
        <w:t>a d</w:t>
      </w:r>
      <w:r w:rsidR="003848D0">
        <w:t>’</w:t>
      </w:r>
      <w:r>
        <w:t>ailleurs pas entraîné les</w:t>
      </w:r>
      <w:r w:rsidR="00D62432">
        <w:t xml:space="preserve"> </w:t>
      </w:r>
      <w:r>
        <w:t>effets espérés par le législateur; bien au contraire, le nombre des</w:t>
      </w:r>
      <w:r w:rsidR="00D62432">
        <w:t xml:space="preserve"> </w:t>
      </w:r>
      <w:r>
        <w:t>grossesses non désirées et des avortements aurait augmenté dans de</w:t>
      </w:r>
      <w:r w:rsidR="00D62432">
        <w:t xml:space="preserve"> </w:t>
      </w:r>
      <w:r>
        <w:t>fortes proportions entre 1970 et 1974.</w:t>
      </w:r>
      <w:r w:rsidR="003848D0">
        <w:t xml:space="preserve"> </w:t>
      </w:r>
      <w:r>
        <w:t>D</w:t>
      </w:r>
      <w:r w:rsidR="003848D0">
        <w:t>’</w:t>
      </w:r>
      <w:r>
        <w:t>après le Gouvernement, les</w:t>
      </w:r>
      <w:r w:rsidR="00D62432">
        <w:t xml:space="preserve"> </w:t>
      </w:r>
      <w:r>
        <w:t>statistiques de 1970 à 1974 ne sauraient passer pour refléter les</w:t>
      </w:r>
      <w:r w:rsidR="00D62432">
        <w:t xml:space="preserve"> </w:t>
      </w:r>
      <w:r>
        <w:t>effets d</w:t>
      </w:r>
      <w:r w:rsidR="003848D0">
        <w:t>’</w:t>
      </w:r>
      <w:r>
        <w:t>une législation dont l</w:t>
      </w:r>
      <w:r w:rsidR="003848D0">
        <w:t>’</w:t>
      </w:r>
      <w:r>
        <w:t>application n</w:t>
      </w:r>
      <w:r w:rsidR="003848D0">
        <w:t>’</w:t>
      </w:r>
      <w:r>
        <w:t>a commencé en pratique</w:t>
      </w:r>
      <w:r w:rsidR="00D62432">
        <w:t xml:space="preserve"> </w:t>
      </w:r>
      <w:r>
        <w:t>qu</w:t>
      </w:r>
      <w:r w:rsidR="003848D0">
        <w:t>’</w:t>
      </w:r>
      <w:r>
        <w:t>en août 1973.</w:t>
      </w:r>
    </w:p>
    <w:p w:rsidR="003206D8" w:rsidRDefault="003206D8" w:rsidP="003206D8">
      <w:r>
        <w:t>Les faits propres aux requérants</w:t>
      </w:r>
    </w:p>
    <w:p w:rsidR="003206D8" w:rsidRDefault="003206D8" w:rsidP="00825FA1">
      <w:pPr>
        <w:pStyle w:val="JuPara"/>
      </w:pPr>
      <w:r>
        <w:t>36.</w:t>
      </w:r>
      <w:r w:rsidR="003848D0">
        <w:t xml:space="preserve"> </w:t>
      </w:r>
      <w:r>
        <w:t>M. et Mme Kjeldsen ont une</w:t>
      </w:r>
      <w:r w:rsidR="00825FA1">
        <w:t xml:space="preserve"> fille prénommée Karen.</w:t>
      </w:r>
      <w:r w:rsidR="003848D0">
        <w:t xml:space="preserve"> </w:t>
      </w:r>
      <w:r w:rsidR="00825FA1">
        <w:t xml:space="preserve">Née en </w:t>
      </w:r>
      <w:r>
        <w:t>décembre 1962, elle fréquentait l</w:t>
      </w:r>
      <w:r w:rsidR="003848D0">
        <w:t>’</w:t>
      </w:r>
      <w:r>
        <w:t xml:space="preserve">école publique St. Jacobi, à </w:t>
      </w:r>
      <w:r w:rsidRPr="00825FA1">
        <w:rPr>
          <w:lang w:val="da-DK"/>
        </w:rPr>
        <w:t>Varde</w:t>
      </w:r>
      <w:r>
        <w:t>.</w:t>
      </w:r>
      <w:r w:rsidR="00825FA1">
        <w:t xml:space="preserve"> </w:t>
      </w:r>
      <w:r>
        <w:t>Toutes les écoles publiques de cette ville utilisaient encore, jusqu</w:t>
      </w:r>
      <w:r w:rsidR="003848D0">
        <w:t>’</w:t>
      </w:r>
      <w:r>
        <w:t>à</w:t>
      </w:r>
      <w:r w:rsidR="00825FA1">
        <w:t xml:space="preserve"> </w:t>
      </w:r>
      <w:r>
        <w:t>l</w:t>
      </w:r>
      <w:r w:rsidR="003848D0">
        <w:t>’</w:t>
      </w:r>
      <w:r>
        <w:t>année scolaire 1972/73, les programmes d</w:t>
      </w:r>
      <w:r w:rsidR="003848D0">
        <w:t>’</w:t>
      </w:r>
      <w:r>
        <w:t>étude adoptés en 1969,</w:t>
      </w:r>
      <w:r w:rsidR="00825FA1">
        <w:t xml:space="preserve"> </w:t>
      </w:r>
      <w:r>
        <w:t>c</w:t>
      </w:r>
      <w:r w:rsidR="003848D0">
        <w:t>’</w:t>
      </w:r>
      <w:r>
        <w:t>est-à-dire avant l</w:t>
      </w:r>
      <w:r w:rsidR="003848D0">
        <w:t>’</w:t>
      </w:r>
      <w:r>
        <w:t>entrée en vigueur de la loi de 1970.</w:t>
      </w:r>
      <w:r w:rsidR="003848D0">
        <w:t xml:space="preserve"> </w:t>
      </w:r>
      <w:r>
        <w:t>Le</w:t>
      </w:r>
      <w:r w:rsidR="00825FA1">
        <w:t xml:space="preserve"> </w:t>
      </w:r>
      <w:r>
        <w:t>programme n</w:t>
      </w:r>
      <w:r w:rsidR="003848D0">
        <w:t>’</w:t>
      </w:r>
      <w:r>
        <w:t xml:space="preserve">a changé à </w:t>
      </w:r>
      <w:r w:rsidRPr="00825FA1">
        <w:rPr>
          <w:lang w:val="da-DK"/>
        </w:rPr>
        <w:t>Varde</w:t>
      </w:r>
      <w:r>
        <w:t xml:space="preserve"> qu</w:t>
      </w:r>
      <w:r w:rsidR="003848D0">
        <w:t>’</w:t>
      </w:r>
      <w:r>
        <w:t>à partir de l</w:t>
      </w:r>
      <w:r w:rsidR="003848D0">
        <w:t>’</w:t>
      </w:r>
      <w:r>
        <w:t>année scolaire 1973/74.</w:t>
      </w:r>
    </w:p>
    <w:p w:rsidR="003206D8" w:rsidRDefault="003206D8" w:rsidP="002F6C54">
      <w:pPr>
        <w:pStyle w:val="JuPara"/>
      </w:pPr>
      <w:r>
        <w:t>37.</w:t>
      </w:r>
      <w:r w:rsidR="003848D0">
        <w:t xml:space="preserve"> </w:t>
      </w:r>
      <w:r>
        <w:t>Le 25 avril 1971, les requér</w:t>
      </w:r>
      <w:r w:rsidR="002F6C54">
        <w:t xml:space="preserve">ants demandèrent au ministre de </w:t>
      </w:r>
      <w:r>
        <w:t>l</w:t>
      </w:r>
      <w:r w:rsidR="003848D0">
        <w:t>’</w:t>
      </w:r>
      <w:r>
        <w:t>éducation de dispenser leur fille des cours d</w:t>
      </w:r>
      <w:r w:rsidR="003848D0">
        <w:t>’</w:t>
      </w:r>
      <w:r>
        <w:t>éducation sexuelle;</w:t>
      </w:r>
      <w:r w:rsidR="002F6C54">
        <w:t xml:space="preserve"> </w:t>
      </w:r>
      <w:r>
        <w:t>ils déclaraient vouloir les lui donner eux-mêmes.</w:t>
      </w:r>
    </w:p>
    <w:p w:rsidR="003206D8" w:rsidRDefault="003206D8" w:rsidP="00AE0094">
      <w:pPr>
        <w:pStyle w:val="JuPara"/>
      </w:pPr>
      <w:r>
        <w:t>Le 6 mai 1971, le ministère leur ré</w:t>
      </w:r>
      <w:r w:rsidR="00AE0094">
        <w:t>pondit qu</w:t>
      </w:r>
      <w:r w:rsidR="003848D0">
        <w:t>’</w:t>
      </w:r>
      <w:r w:rsidR="00AE0094">
        <w:t xml:space="preserve">un nouveau décret sur </w:t>
      </w:r>
      <w:r>
        <w:t>l</w:t>
      </w:r>
      <w:r w:rsidR="003848D0">
        <w:t>’</w:t>
      </w:r>
      <w:r>
        <w:t>éducation sexuelle dans les écoles publiques était en préparation.</w:t>
      </w:r>
    </w:p>
    <w:p w:rsidR="003206D8" w:rsidRDefault="003206D8" w:rsidP="00AE0094">
      <w:pPr>
        <w:pStyle w:val="JuPara"/>
      </w:pPr>
      <w:r>
        <w:t>Les requérants en appelèrent au parlement da</w:t>
      </w:r>
      <w:r w:rsidR="00AE0094">
        <w:t xml:space="preserve">nois qui ne réagit pas. </w:t>
      </w:r>
      <w:r>
        <w:t>Ils s</w:t>
      </w:r>
      <w:r w:rsidR="003848D0">
        <w:t>’</w:t>
      </w:r>
      <w:r>
        <w:t>adressèrent alors au médiateur parlementaire (</w:t>
      </w:r>
      <w:r w:rsidRPr="00AE0094">
        <w:rPr>
          <w:lang w:val="da-DK"/>
        </w:rPr>
        <w:t>Folketingets</w:t>
      </w:r>
      <w:r w:rsidR="00AE0094">
        <w:t xml:space="preserve"> </w:t>
      </w:r>
      <w:r w:rsidRPr="00AE0094">
        <w:rPr>
          <w:lang w:val="da-DK"/>
        </w:rPr>
        <w:t>ombudsmand</w:t>
      </w:r>
      <w:r>
        <w:t>) qui les informa, le 2 juin 1971, qu</w:t>
      </w:r>
      <w:r w:rsidR="003848D0">
        <w:t>’</w:t>
      </w:r>
      <w:r>
        <w:t>il n</w:t>
      </w:r>
      <w:r w:rsidR="003848D0">
        <w:t>’</w:t>
      </w:r>
      <w:r>
        <w:t>avait pas</w:t>
      </w:r>
      <w:r w:rsidR="00AE0094">
        <w:t xml:space="preserve"> </w:t>
      </w:r>
      <w:r>
        <w:t>compétence pour s</w:t>
      </w:r>
      <w:r w:rsidR="003848D0">
        <w:t>’</w:t>
      </w:r>
      <w:r>
        <w:t>occuper de la question.</w:t>
      </w:r>
    </w:p>
    <w:p w:rsidR="003206D8" w:rsidRDefault="003206D8" w:rsidP="0068058B">
      <w:pPr>
        <w:pStyle w:val="JuPara"/>
      </w:pPr>
      <w:r>
        <w:t>38.</w:t>
      </w:r>
      <w:r w:rsidR="003848D0">
        <w:t xml:space="preserve"> </w:t>
      </w:r>
      <w:r>
        <w:t>Par une lettre du 14 juillet 1971, le ministère de l</w:t>
      </w:r>
      <w:r w:rsidR="003848D0">
        <w:t>’</w:t>
      </w:r>
      <w:r>
        <w:t>éduca</w:t>
      </w:r>
      <w:r w:rsidR="0068058B">
        <w:t xml:space="preserve">tion </w:t>
      </w:r>
      <w:r>
        <w:t>signala aux requérants la publication du décret n</w:t>
      </w:r>
      <w:r w:rsidR="003848D0" w:rsidRPr="003848D0">
        <w:rPr>
          <w:vertAlign w:val="superscript"/>
        </w:rPr>
        <w:t>o</w:t>
      </w:r>
      <w:r>
        <w:t xml:space="preserve"> 274 (paragraphe 24</w:t>
      </w:r>
      <w:r w:rsidR="0068058B">
        <w:t xml:space="preserve"> </w:t>
      </w:r>
      <w:r>
        <w:t>ci-dessus), ajoutant que des raisons d</w:t>
      </w:r>
      <w:r w:rsidR="003848D0">
        <w:t>’</w:t>
      </w:r>
      <w:r>
        <w:t>ordre pratique empêchaient de</w:t>
      </w:r>
      <w:r w:rsidR="0068058B">
        <w:t xml:space="preserve"> </w:t>
      </w:r>
      <w:r>
        <w:t>dispenser les enfants de l</w:t>
      </w:r>
      <w:r w:rsidR="003848D0">
        <w:t>’</w:t>
      </w:r>
      <w:r>
        <w:t>éducation sexuelle intégrée.</w:t>
      </w:r>
    </w:p>
    <w:p w:rsidR="003206D8" w:rsidRDefault="003206D8" w:rsidP="0068058B">
      <w:pPr>
        <w:pStyle w:val="JuPara"/>
      </w:pPr>
      <w:r>
        <w:t>Le 5 août 1971, les requérants écrivirent derechef au m</w:t>
      </w:r>
      <w:r w:rsidR="0068058B">
        <w:t xml:space="preserve">inistère de </w:t>
      </w:r>
      <w:r>
        <w:t>l</w:t>
      </w:r>
      <w:r w:rsidR="003848D0">
        <w:t>’</w:t>
      </w:r>
      <w:r>
        <w:t>éducation pour s</w:t>
      </w:r>
      <w:r w:rsidR="003848D0">
        <w:t>’</w:t>
      </w:r>
      <w:r>
        <w:t>enquérir cette fois de la situation des écoles</w:t>
      </w:r>
      <w:r w:rsidR="0068058B">
        <w:t xml:space="preserve"> </w:t>
      </w:r>
      <w:r>
        <w:t>privées en matière d</w:t>
      </w:r>
      <w:r w:rsidR="003848D0">
        <w:t>’</w:t>
      </w:r>
      <w:r>
        <w:t>éducation sexuelle.</w:t>
      </w:r>
      <w:r w:rsidR="003848D0">
        <w:t xml:space="preserve"> </w:t>
      </w:r>
      <w:r>
        <w:t>Le ministère leur indiqua,</w:t>
      </w:r>
      <w:r w:rsidR="0068058B">
        <w:t xml:space="preserve"> </w:t>
      </w:r>
      <w:r>
        <w:t>le 20 septembre, qu</w:t>
      </w:r>
      <w:r w:rsidR="003848D0">
        <w:t>’</w:t>
      </w:r>
      <w:r>
        <w:t>elles n</w:t>
      </w:r>
      <w:r w:rsidR="003848D0">
        <w:t>’</w:t>
      </w:r>
      <w:r>
        <w:t>avaient pas l</w:t>
      </w:r>
      <w:r w:rsidR="003848D0">
        <w:t>’</w:t>
      </w:r>
      <w:r>
        <w:t>obligation d</w:t>
      </w:r>
      <w:r w:rsidR="003848D0">
        <w:t>’</w:t>
      </w:r>
      <w:r>
        <w:t>assurer un</w:t>
      </w:r>
      <w:r w:rsidR="0068058B">
        <w:t xml:space="preserve"> </w:t>
      </w:r>
      <w:r>
        <w:t>enseignement allant au-delà de celui qu</w:t>
      </w:r>
      <w:r w:rsidR="003848D0">
        <w:t>’</w:t>
      </w:r>
      <w:r>
        <w:t>elles étaient tenues, depuis</w:t>
      </w:r>
      <w:r w:rsidR="0068058B">
        <w:t xml:space="preserve"> </w:t>
      </w:r>
      <w:r>
        <w:t>1960, de dispenser au titre du programme de biologie.</w:t>
      </w:r>
    </w:p>
    <w:p w:rsidR="003206D8" w:rsidRDefault="003206D8" w:rsidP="0068058B">
      <w:pPr>
        <w:pStyle w:val="JuPara"/>
      </w:pPr>
      <w:r>
        <w:t>Quelques semaines auparavant, à savoir</w:t>
      </w:r>
      <w:r w:rsidR="0068058B">
        <w:t xml:space="preserve"> le 31 août 1971, la commission </w:t>
      </w:r>
      <w:r>
        <w:t xml:space="preserve">scolaire de </w:t>
      </w:r>
      <w:r w:rsidRPr="0068058B">
        <w:rPr>
          <w:lang w:val="da-DK"/>
        </w:rPr>
        <w:t>Varde</w:t>
      </w:r>
      <w:r>
        <w:t xml:space="preserve"> avait repoussé une demande des requérants tendant à</w:t>
      </w:r>
      <w:r w:rsidR="0068058B">
        <w:t xml:space="preserve"> </w:t>
      </w:r>
      <w:r>
        <w:t>faire donner à leur fille un enseignement privé gratuit.</w:t>
      </w:r>
    </w:p>
    <w:p w:rsidR="003206D8" w:rsidRDefault="003206D8" w:rsidP="00AF66F2">
      <w:pPr>
        <w:pStyle w:val="JuPara"/>
      </w:pPr>
      <w:r>
        <w:t>39.</w:t>
      </w:r>
      <w:r w:rsidR="003848D0">
        <w:t xml:space="preserve"> </w:t>
      </w:r>
      <w:r>
        <w:t>Le 13 octobre 1971, le ministère</w:t>
      </w:r>
      <w:r w:rsidR="00AF66F2">
        <w:t xml:space="preserve"> répondit à une nouvelle lettre </w:t>
      </w:r>
      <w:r>
        <w:t>par laquelle les requérants avaient réclamé, le 6 septembre, la</w:t>
      </w:r>
      <w:r w:rsidR="00AF66F2">
        <w:t xml:space="preserve"> </w:t>
      </w:r>
      <w:r>
        <w:t>promulgation d</w:t>
      </w:r>
      <w:r w:rsidR="003848D0">
        <w:t>’</w:t>
      </w:r>
      <w:r>
        <w:t>une législation autorisant l</w:t>
      </w:r>
      <w:r w:rsidR="003848D0">
        <w:t>’</w:t>
      </w:r>
      <w:r>
        <w:t>enseignement gratuit sans</w:t>
      </w:r>
      <w:r w:rsidR="00AF66F2">
        <w:t xml:space="preserve"> </w:t>
      </w:r>
      <w:r>
        <w:t>éducation sexuelle.</w:t>
      </w:r>
      <w:r w:rsidR="003848D0">
        <w:t xml:space="preserve"> </w:t>
      </w:r>
      <w:r>
        <w:t>Il précisa qu</w:t>
      </w:r>
      <w:r w:rsidR="003848D0">
        <w:t>’</w:t>
      </w:r>
      <w:r>
        <w:t>il n</w:t>
      </w:r>
      <w:r w:rsidR="003848D0">
        <w:t>’</w:t>
      </w:r>
      <w:r>
        <w:t>avait pas l</w:t>
      </w:r>
      <w:r w:rsidR="003848D0">
        <w:t>’</w:t>
      </w:r>
      <w:r>
        <w:t>intention de</w:t>
      </w:r>
      <w:r w:rsidR="00AF66F2">
        <w:t xml:space="preserve"> </w:t>
      </w:r>
      <w:r>
        <w:t>proposer une telle législation et refusa en outre de prendre des</w:t>
      </w:r>
      <w:r w:rsidR="00AF66F2">
        <w:t xml:space="preserve"> </w:t>
      </w:r>
      <w:r>
        <w:t>mesures propres à permettre à la fille des requérants de recevoir un</w:t>
      </w:r>
      <w:r w:rsidR="00AF66F2">
        <w:t xml:space="preserve"> </w:t>
      </w:r>
      <w:r>
        <w:t>enseignement distinct.</w:t>
      </w:r>
      <w:r w:rsidR="003848D0">
        <w:t xml:space="preserve"> </w:t>
      </w:r>
      <w:r>
        <w:t>Se référant à la réponse donnée à une autre</w:t>
      </w:r>
      <w:r w:rsidR="00AF66F2">
        <w:t xml:space="preserve"> </w:t>
      </w:r>
      <w:r>
        <w:t xml:space="preserve">personne qui, dans le </w:t>
      </w:r>
      <w:r w:rsidR="00AF66F2">
        <w:t xml:space="preserve">même domaine, avait invoqué </w:t>
      </w:r>
      <w:r>
        <w:t>l</w:t>
      </w:r>
      <w:r w:rsidR="003848D0">
        <w:t>’</w:t>
      </w:r>
      <w:r>
        <w:t>article 2 du</w:t>
      </w:r>
      <w:r w:rsidR="00AF66F2">
        <w:t xml:space="preserve"> </w:t>
      </w:r>
      <w:r>
        <w:t>Protocole n</w:t>
      </w:r>
      <w:r w:rsidR="003848D0" w:rsidRPr="003848D0">
        <w:rPr>
          <w:vertAlign w:val="superscript"/>
        </w:rPr>
        <w:t>o</w:t>
      </w:r>
      <w:r>
        <w:t xml:space="preserve"> 1 (P1-2), le ministère déclara qu</w:t>
      </w:r>
      <w:r w:rsidR="003848D0">
        <w:t>’</w:t>
      </w:r>
      <w:r>
        <w:t>en raison notamment de</w:t>
      </w:r>
      <w:r w:rsidR="00AF66F2">
        <w:t xml:space="preserve"> </w:t>
      </w:r>
      <w:r>
        <w:t>l</w:t>
      </w:r>
      <w:r w:rsidR="003848D0">
        <w:t>’</w:t>
      </w:r>
      <w:r>
        <w:t>existence d</w:t>
      </w:r>
      <w:r w:rsidR="003848D0">
        <w:t>’</w:t>
      </w:r>
      <w:r>
        <w:t>écoles privées, la législation danoise en matière</w:t>
      </w:r>
      <w:r w:rsidR="00AF66F2">
        <w:t xml:space="preserve"> </w:t>
      </w:r>
      <w:r>
        <w:t>d</w:t>
      </w:r>
      <w:r w:rsidR="003848D0">
        <w:t>’</w:t>
      </w:r>
      <w:r>
        <w:t>éducation sexuelle était conforme à ce texte.</w:t>
      </w:r>
    </w:p>
    <w:p w:rsidR="003206D8" w:rsidRDefault="003206D8" w:rsidP="00AF66F2">
      <w:pPr>
        <w:pStyle w:val="JuPara"/>
      </w:pPr>
      <w:r>
        <w:t>Le 15 avril 1972, les requéran</w:t>
      </w:r>
      <w:r w:rsidR="00AF66F2">
        <w:t xml:space="preserve">ts demandèrent au ministère de </w:t>
      </w:r>
      <w:r>
        <w:t>l</w:t>
      </w:r>
      <w:r w:rsidR="003848D0">
        <w:t>’</w:t>
      </w:r>
      <w:r>
        <w:t>éducation pourquoi les programmes d</w:t>
      </w:r>
      <w:r w:rsidR="003848D0">
        <w:t>’</w:t>
      </w:r>
      <w:r>
        <w:t>études des écoles publiques de</w:t>
      </w:r>
      <w:r w:rsidR="00AF66F2">
        <w:t xml:space="preserve"> </w:t>
      </w:r>
      <w:r w:rsidRPr="00AF66F2">
        <w:rPr>
          <w:lang w:val="da-DK"/>
        </w:rPr>
        <w:t>Varde</w:t>
      </w:r>
      <w:r>
        <w:t xml:space="preserve"> n</w:t>
      </w:r>
      <w:r w:rsidR="003848D0">
        <w:t>’</w:t>
      </w:r>
      <w:r>
        <w:t>avaient pas encore été adaptés à la nouvelle législation en ce</w:t>
      </w:r>
      <w:r w:rsidR="00AF66F2">
        <w:t xml:space="preserve"> </w:t>
      </w:r>
      <w:r>
        <w:t>qui concerne l</w:t>
      </w:r>
      <w:r w:rsidR="003848D0">
        <w:t>’</w:t>
      </w:r>
      <w:r>
        <w:t>éducation sexuelle; le dossier ne révèle pas si le</w:t>
      </w:r>
      <w:r w:rsidR="00AF66F2">
        <w:t xml:space="preserve"> </w:t>
      </w:r>
      <w:r>
        <w:t>ministère leur a répondu.</w:t>
      </w:r>
    </w:p>
    <w:p w:rsidR="003206D8" w:rsidRDefault="003206D8" w:rsidP="00CB0AA6">
      <w:pPr>
        <w:pStyle w:val="JuPara"/>
      </w:pPr>
      <w:r>
        <w:t>40.</w:t>
      </w:r>
      <w:r w:rsidR="003848D0">
        <w:t xml:space="preserve"> </w:t>
      </w:r>
      <w:r>
        <w:t>Entre-temps, les requérants avaie</w:t>
      </w:r>
      <w:r w:rsidR="00CB0AA6">
        <w:t>nt retiré leur fille de l</w:t>
      </w:r>
      <w:r w:rsidR="003848D0">
        <w:t>’</w:t>
      </w:r>
      <w:r w:rsidR="00CB0AA6">
        <w:t xml:space="preserve">école </w:t>
      </w:r>
      <w:r>
        <w:t>St. Jacobi; pendant l</w:t>
      </w:r>
      <w:r w:rsidR="003848D0">
        <w:t>’</w:t>
      </w:r>
      <w:r>
        <w:t>année scolaire 1971/72 ils l</w:t>
      </w:r>
      <w:r w:rsidR="003848D0">
        <w:t>’</w:t>
      </w:r>
      <w:r>
        <w:t>instruisirent chez</w:t>
      </w:r>
      <w:r w:rsidR="00CB0AA6">
        <w:t xml:space="preserve"> </w:t>
      </w:r>
      <w:r>
        <w:t>eux.</w:t>
      </w:r>
      <w:r w:rsidR="003848D0">
        <w:t xml:space="preserve"> </w:t>
      </w:r>
      <w:r>
        <w:t>En août 1972, ils l</w:t>
      </w:r>
      <w:r w:rsidR="003848D0">
        <w:t>’</w:t>
      </w:r>
      <w:r>
        <w:t>envoyèrent à nouveau à l</w:t>
      </w:r>
      <w:r w:rsidR="003848D0">
        <w:t>’</w:t>
      </w:r>
      <w:r>
        <w:t>école publique de</w:t>
      </w:r>
      <w:r w:rsidR="00CB0AA6">
        <w:t xml:space="preserve"> </w:t>
      </w:r>
      <w:r w:rsidRPr="00CB0AA6">
        <w:rPr>
          <w:lang w:val="da-DK"/>
        </w:rPr>
        <w:t>Varde</w:t>
      </w:r>
      <w:r>
        <w:t xml:space="preserve"> (</w:t>
      </w:r>
      <w:r w:rsidRPr="00CB0AA6">
        <w:rPr>
          <w:lang w:val="da-DK"/>
        </w:rPr>
        <w:t>Brorsonskolen</w:t>
      </w:r>
      <w:r>
        <w:t>).</w:t>
      </w:r>
    </w:p>
    <w:p w:rsidR="003206D8" w:rsidRDefault="003206D8" w:rsidP="0063182C">
      <w:pPr>
        <w:pStyle w:val="JuPara"/>
      </w:pPr>
      <w:r>
        <w:t>Devant la Commission, ils ont all</w:t>
      </w:r>
      <w:r w:rsidR="0063182C">
        <w:t>égué que l</w:t>
      </w:r>
      <w:r w:rsidR="003848D0">
        <w:t>’</w:t>
      </w:r>
      <w:r w:rsidR="0063182C">
        <w:t xml:space="preserve">école privée la plus </w:t>
      </w:r>
      <w:r>
        <w:t>proche se trouvait à dix-neuf kilomètres de leur domicile et que leur</w:t>
      </w:r>
      <w:r w:rsidR="0063182C">
        <w:t xml:space="preserve"> </w:t>
      </w:r>
      <w:r>
        <w:t>fille, diabétique, ne pouvait quitter la maison pendant un laps de</w:t>
      </w:r>
      <w:r w:rsidR="0063182C">
        <w:t xml:space="preserve"> </w:t>
      </w:r>
      <w:r>
        <w:t>temps prolongé.</w:t>
      </w:r>
      <w:r w:rsidR="003848D0">
        <w:t xml:space="preserve"> </w:t>
      </w:r>
      <w:r>
        <w:t>Le Gouvernement n</w:t>
      </w:r>
      <w:r w:rsidR="003848D0">
        <w:t>’</w:t>
      </w:r>
      <w:r>
        <w:t>a pas contesté ces affirmations.</w:t>
      </w:r>
    </w:p>
    <w:p w:rsidR="003206D8" w:rsidRDefault="003206D8" w:rsidP="0063182C">
      <w:pPr>
        <w:pStyle w:val="JuPara"/>
      </w:pPr>
      <w:r>
        <w:t>41.</w:t>
      </w:r>
      <w:r w:rsidR="003848D0">
        <w:t xml:space="preserve"> </w:t>
      </w:r>
      <w:r>
        <w:t>M. et Mme Busk Madsen ont quatre e</w:t>
      </w:r>
      <w:r w:rsidR="0063182C">
        <w:t>nfants dont l</w:t>
      </w:r>
      <w:r w:rsidR="003848D0">
        <w:t>’</w:t>
      </w:r>
      <w:r w:rsidR="0063182C">
        <w:t xml:space="preserve">aîné est entré en </w:t>
      </w:r>
      <w:r>
        <w:t>1972 dans une école publique d</w:t>
      </w:r>
      <w:r w:rsidR="003848D0">
        <w:t>’</w:t>
      </w:r>
      <w:r w:rsidRPr="0063182C">
        <w:rPr>
          <w:lang w:val="da-DK"/>
        </w:rPr>
        <w:t>Åbenrå</w:t>
      </w:r>
      <w:r>
        <w:t>.</w:t>
      </w:r>
      <w:r w:rsidR="003848D0">
        <w:t xml:space="preserve"> </w:t>
      </w:r>
      <w:r>
        <w:t>Ils ont essayé sans succès de</w:t>
      </w:r>
      <w:r w:rsidR="0063182C">
        <w:t xml:space="preserve"> </w:t>
      </w:r>
      <w:r>
        <w:t>les faire dispenser des cours d</w:t>
      </w:r>
      <w:r w:rsidR="003848D0">
        <w:t>’</w:t>
      </w:r>
      <w:r>
        <w:t>éducation sexuelle.</w:t>
      </w:r>
    </w:p>
    <w:p w:rsidR="003206D8" w:rsidRDefault="003206D8" w:rsidP="006110C5">
      <w:pPr>
        <w:pStyle w:val="JuPara"/>
      </w:pPr>
      <w:r>
        <w:t>42.</w:t>
      </w:r>
      <w:r w:rsidR="003848D0">
        <w:t xml:space="preserve"> </w:t>
      </w:r>
      <w:r>
        <w:t>M. et Mme Pedersen ont cinq e</w:t>
      </w:r>
      <w:r w:rsidR="006110C5">
        <w:t>nfants dont trois étaient d</w:t>
      </w:r>
      <w:r w:rsidR="003848D0">
        <w:t>’</w:t>
      </w:r>
      <w:r w:rsidR="006110C5">
        <w:t xml:space="preserve">âge </w:t>
      </w:r>
      <w:r>
        <w:t>scolaire en 1972.</w:t>
      </w:r>
      <w:r w:rsidR="003848D0">
        <w:t xml:space="preserve"> </w:t>
      </w:r>
      <w:r>
        <w:t>Deux d</w:t>
      </w:r>
      <w:r w:rsidR="003848D0">
        <w:t>’</w:t>
      </w:r>
      <w:r>
        <w:t>entre eux, Ester, née en 1957, et Svend, né</w:t>
      </w:r>
      <w:r w:rsidR="006110C5">
        <w:t xml:space="preserve"> </w:t>
      </w:r>
      <w:r>
        <w:t>en 1965, fréquentaient des écoles privées pour ne pas avoir à suivre</w:t>
      </w:r>
      <w:r w:rsidR="006110C5">
        <w:t xml:space="preserve"> </w:t>
      </w:r>
      <w:r>
        <w:t>l</w:t>
      </w:r>
      <w:r w:rsidR="003848D0">
        <w:t>’</w:t>
      </w:r>
      <w:r>
        <w:t xml:space="preserve">éducation sexuelle; le troisième, Hans </w:t>
      </w:r>
      <w:r w:rsidRPr="006110C5">
        <w:rPr>
          <w:lang w:val="da-DK"/>
        </w:rPr>
        <w:t>Kristian</w:t>
      </w:r>
      <w:r>
        <w:t>, né en 1961, était</w:t>
      </w:r>
      <w:r w:rsidR="006110C5">
        <w:t xml:space="preserve"> </w:t>
      </w:r>
      <w:r>
        <w:t>inscrit à l</w:t>
      </w:r>
      <w:r w:rsidR="003848D0">
        <w:t>’</w:t>
      </w:r>
      <w:r>
        <w:t xml:space="preserve">école municipale de </w:t>
      </w:r>
      <w:r w:rsidRPr="006110C5">
        <w:rPr>
          <w:lang w:val="da-DK"/>
        </w:rPr>
        <w:t>Poul</w:t>
      </w:r>
      <w:r>
        <w:t xml:space="preserve"> </w:t>
      </w:r>
      <w:r w:rsidRPr="006110C5">
        <w:rPr>
          <w:lang w:val="da-DK"/>
        </w:rPr>
        <w:t>Paghs</w:t>
      </w:r>
      <w:r>
        <w:t xml:space="preserve"> Gade à </w:t>
      </w:r>
      <w:r w:rsidRPr="006110C5">
        <w:rPr>
          <w:lang w:val="da-DK"/>
        </w:rPr>
        <w:t>Ålborg</w:t>
      </w:r>
      <w:r>
        <w:t>.</w:t>
      </w:r>
      <w:r w:rsidR="003848D0">
        <w:t xml:space="preserve"> </w:t>
      </w:r>
      <w:r>
        <w:t>Les</w:t>
      </w:r>
      <w:r w:rsidR="006110C5">
        <w:t xml:space="preserve"> </w:t>
      </w:r>
      <w:r>
        <w:t>requérants payaient 660 couronnes par mois pour Ester, qui avait quitté</w:t>
      </w:r>
      <w:r w:rsidR="006110C5">
        <w:t xml:space="preserve"> </w:t>
      </w:r>
      <w:r>
        <w:t xml:space="preserve">cette même école en été 1972 pour un internat privé à </w:t>
      </w:r>
      <w:r w:rsidRPr="006110C5">
        <w:rPr>
          <w:lang w:val="da-DK"/>
        </w:rPr>
        <w:t>Korinth</w:t>
      </w:r>
      <w:r>
        <w:t xml:space="preserve"> (Fionie),</w:t>
      </w:r>
      <w:r w:rsidR="006110C5">
        <w:t xml:space="preserve"> </w:t>
      </w:r>
      <w:r>
        <w:t>et 75 pour Svend.</w:t>
      </w:r>
    </w:p>
    <w:p w:rsidR="003206D8" w:rsidRDefault="003206D8" w:rsidP="00894FC3">
      <w:pPr>
        <w:pStyle w:val="JuPara"/>
      </w:pPr>
      <w:r>
        <w:t>Les Pedersen avaient demandé aux autor</w:t>
      </w:r>
      <w:r w:rsidR="00894FC3">
        <w:t xml:space="preserve">ités compétentes - également en </w:t>
      </w:r>
      <w:r>
        <w:t>vain - de dispenser leurs enfants d</w:t>
      </w:r>
      <w:r w:rsidR="003848D0">
        <w:t>’</w:t>
      </w:r>
      <w:r>
        <w:t>éducation sexuelle.</w:t>
      </w:r>
      <w:r w:rsidR="003848D0">
        <w:t xml:space="preserve"> </w:t>
      </w:r>
      <w:r>
        <w:t>Ils ont</w:t>
      </w:r>
      <w:r w:rsidR="00894FC3">
        <w:t xml:space="preserve"> </w:t>
      </w:r>
      <w:r>
        <w:t>déclaré dans leur requête que si la Commission ne pouvait rien pour</w:t>
      </w:r>
      <w:r w:rsidR="00894FC3">
        <w:t xml:space="preserve"> </w:t>
      </w:r>
      <w:r>
        <w:t>eux, ils pensaient envoyer aussi leur troisième enfant à une école</w:t>
      </w:r>
      <w:r w:rsidR="00894FC3">
        <w:t xml:space="preserve"> </w:t>
      </w:r>
      <w:r>
        <w:t>privée.</w:t>
      </w:r>
    </w:p>
    <w:p w:rsidR="003206D8" w:rsidRDefault="003206D8" w:rsidP="00894FC3">
      <w:pPr>
        <w:pStyle w:val="JuPara"/>
      </w:pPr>
      <w:r>
        <w:t>43.</w:t>
      </w:r>
      <w:r w:rsidR="003848D0">
        <w:t xml:space="preserve"> </w:t>
      </w:r>
      <w:r>
        <w:t>En mars 1972, les requérants se plaignirent de l</w:t>
      </w:r>
      <w:r w:rsidR="003848D0">
        <w:t>’</w:t>
      </w:r>
      <w:r>
        <w:t>uti</w:t>
      </w:r>
      <w:r w:rsidR="00894FC3">
        <w:t xml:space="preserve">lisation de </w:t>
      </w:r>
      <w:r>
        <w:t>certains manuels d</w:t>
      </w:r>
      <w:r w:rsidR="003848D0">
        <w:t>’</w:t>
      </w:r>
      <w:r>
        <w:t>éducation sexuelle à l</w:t>
      </w:r>
      <w:r w:rsidR="003848D0">
        <w:t>’</w:t>
      </w:r>
      <w:r>
        <w:t>école susmentionnée; ces</w:t>
      </w:r>
      <w:r w:rsidR="00894FC3">
        <w:t xml:space="preserve"> </w:t>
      </w:r>
      <w:r>
        <w:t>ouvrages avaient apparemment été approuvés par le conseil d</w:t>
      </w:r>
      <w:r w:rsidR="003848D0">
        <w:t>’</w:t>
      </w:r>
      <w:r>
        <w:t>école, en</w:t>
      </w:r>
      <w:r w:rsidR="00894FC3">
        <w:t xml:space="preserve"> </w:t>
      </w:r>
      <w:r>
        <w:t>accord avec les enseignants de l</w:t>
      </w:r>
      <w:r w:rsidR="003848D0">
        <w:t>’</w:t>
      </w:r>
      <w:r>
        <w:t>établissement.</w:t>
      </w:r>
    </w:p>
    <w:p w:rsidR="003206D8" w:rsidRDefault="003206D8" w:rsidP="00894FC3">
      <w:pPr>
        <w:pStyle w:val="JuPara"/>
      </w:pPr>
      <w:r>
        <w:t>Le comité de l</w:t>
      </w:r>
      <w:r w:rsidR="003848D0">
        <w:t>’</w:t>
      </w:r>
      <w:r>
        <w:t>éducation et de la culture du conseil de co</w:t>
      </w:r>
      <w:r w:rsidR="00894FC3">
        <w:t xml:space="preserve">mté du </w:t>
      </w:r>
      <w:r w:rsidRPr="00894FC3">
        <w:rPr>
          <w:lang w:val="da-DK"/>
        </w:rPr>
        <w:t>Jutland</w:t>
      </w:r>
      <w:r w:rsidRPr="00894FC3">
        <w:t xml:space="preserve"> du Nord (</w:t>
      </w:r>
      <w:r w:rsidRPr="00894FC3">
        <w:rPr>
          <w:lang w:val="da-DK"/>
        </w:rPr>
        <w:t>Nordjyllands</w:t>
      </w:r>
      <w:r w:rsidRPr="00894FC3">
        <w:t xml:space="preserve"> </w:t>
      </w:r>
      <w:r w:rsidRPr="00894FC3">
        <w:rPr>
          <w:lang w:val="da-DK"/>
        </w:rPr>
        <w:t>amtsråds</w:t>
      </w:r>
      <w:r w:rsidRPr="00894FC3">
        <w:t xml:space="preserve"> </w:t>
      </w:r>
      <w:r w:rsidRPr="00894FC3">
        <w:rPr>
          <w:lang w:val="da-DK"/>
        </w:rPr>
        <w:t>undervisnings</w:t>
      </w:r>
      <w:r w:rsidRPr="00894FC3">
        <w:t xml:space="preserve">- </w:t>
      </w:r>
      <w:r w:rsidRPr="00894FC3">
        <w:rPr>
          <w:lang w:val="da-DK"/>
        </w:rPr>
        <w:t>og</w:t>
      </w:r>
      <w:r w:rsidRPr="00894FC3">
        <w:t xml:space="preserve"> </w:t>
      </w:r>
      <w:r w:rsidRPr="00894FC3">
        <w:rPr>
          <w:lang w:val="da-DK"/>
        </w:rPr>
        <w:t>kulturudvalg</w:t>
      </w:r>
      <w:r w:rsidRPr="00894FC3">
        <w:t>)</w:t>
      </w:r>
      <w:r w:rsidR="00894FC3">
        <w:t xml:space="preserve"> </w:t>
      </w:r>
      <w:r>
        <w:t>décida toutefois, le 16 juin 1972, d</w:t>
      </w:r>
      <w:r w:rsidR="003848D0">
        <w:t>’</w:t>
      </w:r>
      <w:r>
        <w:t>appuyer la résolution du conseil</w:t>
      </w:r>
      <w:r w:rsidR="00894FC3">
        <w:t xml:space="preserve"> </w:t>
      </w:r>
      <w:r>
        <w:t>d</w:t>
      </w:r>
      <w:r w:rsidR="003848D0">
        <w:t>’</w:t>
      </w:r>
      <w:r>
        <w:t>école, décision que le ministre de l</w:t>
      </w:r>
      <w:r w:rsidR="003848D0">
        <w:t>’</w:t>
      </w:r>
      <w:r>
        <w:t>éducation confirma le 13 mars 1973.</w:t>
      </w:r>
    </w:p>
    <w:p w:rsidR="003206D8" w:rsidRDefault="003206D8" w:rsidP="004C7C1F">
      <w:pPr>
        <w:pStyle w:val="JuHHead"/>
      </w:pPr>
      <w:r>
        <w:t>PROCEDURE SUIVIE DEVANT LA COMMISSION</w:t>
      </w:r>
    </w:p>
    <w:p w:rsidR="003206D8" w:rsidRDefault="003206D8" w:rsidP="004C7C1F">
      <w:pPr>
        <w:pStyle w:val="JuPara"/>
      </w:pPr>
      <w:r>
        <w:t>44.</w:t>
      </w:r>
      <w:r w:rsidR="003848D0">
        <w:t xml:space="preserve"> </w:t>
      </w:r>
      <w:r>
        <w:t>M. et Mme Kjeldsen ont saisi</w:t>
      </w:r>
      <w:r w:rsidR="004C7C1F">
        <w:t xml:space="preserve"> la Commission le 4 avril 1971, </w:t>
      </w:r>
      <w:r>
        <w:t>M. et Mme Busk Madsen ainsi que M. et Mme Pedersen le 7 octobre 1972.</w:t>
      </w:r>
      <w:r w:rsidR="004C7C1F">
        <w:t xml:space="preserve"> </w:t>
      </w:r>
      <w:r>
        <w:t>Les Busk Madsen et les Pedersen ayant déclaré qu</w:t>
      </w:r>
      <w:r w:rsidR="003848D0">
        <w:t>’</w:t>
      </w:r>
      <w:r>
        <w:t>ils considéraient</w:t>
      </w:r>
      <w:r w:rsidR="004C7C1F">
        <w:t xml:space="preserve"> </w:t>
      </w:r>
      <w:r>
        <w:t>leurs requêtes comme étroitement liées à celle des Kjeldsen, la</w:t>
      </w:r>
      <w:r w:rsidR="004C7C1F">
        <w:t xml:space="preserve"> </w:t>
      </w:r>
      <w:r>
        <w:t>Commission a ordonné le 19 juillet 1973 la jonction des trois requêtes</w:t>
      </w:r>
      <w:r w:rsidR="004C7C1F">
        <w:t xml:space="preserve"> </w:t>
      </w:r>
      <w:r>
        <w:t>en vertu de l</w:t>
      </w:r>
      <w:r w:rsidR="003848D0">
        <w:t>’</w:t>
      </w:r>
      <w:r>
        <w:t>article 39 du règlement intérieur en vigueur à l</w:t>
      </w:r>
      <w:r w:rsidR="003848D0">
        <w:t>’</w:t>
      </w:r>
      <w:r>
        <w:t>époque.</w:t>
      </w:r>
    </w:p>
    <w:p w:rsidR="003206D8" w:rsidRDefault="003206D8" w:rsidP="004C7C1F">
      <w:pPr>
        <w:pStyle w:val="JuPara"/>
      </w:pPr>
      <w:r>
        <w:t>Tous les requérants soutenaient que l</w:t>
      </w:r>
      <w:r w:rsidR="003848D0">
        <w:t>’</w:t>
      </w:r>
      <w:r w:rsidR="004C7C1F">
        <w:t xml:space="preserve">éducation sexuelle intégrée et </w:t>
      </w:r>
      <w:r>
        <w:t>de ce fait obligatoire, telle que la loi de 1970 l</w:t>
      </w:r>
      <w:r w:rsidR="003848D0">
        <w:t>’</w:t>
      </w:r>
      <w:r>
        <w:t>a introduite dans</w:t>
      </w:r>
      <w:r w:rsidR="004C7C1F">
        <w:t xml:space="preserve"> </w:t>
      </w:r>
      <w:r>
        <w:t>les écoles publiques, était contraire à leurs convictions de parents</w:t>
      </w:r>
      <w:r w:rsidR="004C7C1F">
        <w:t xml:space="preserve"> </w:t>
      </w:r>
      <w:r>
        <w:t>chrétiens et violait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(P1-2).</w:t>
      </w:r>
    </w:p>
    <w:p w:rsidR="003206D8" w:rsidRDefault="003206D8" w:rsidP="004C7C1F">
      <w:pPr>
        <w:pStyle w:val="JuPara"/>
      </w:pPr>
      <w:r>
        <w:t>La Commission a statué le 16 décembre</w:t>
      </w:r>
      <w:r w:rsidR="004C7C1F">
        <w:t xml:space="preserve"> 1972 sur la recevabilité de la </w:t>
      </w:r>
      <w:r>
        <w:t>requête des Kjeldsen, les 29 mai (décisions partielles) et</w:t>
      </w:r>
      <w:r w:rsidR="004C7C1F">
        <w:t xml:space="preserve"> </w:t>
      </w:r>
      <w:r>
        <w:t>19 juillet 1973 (décisions finales) sur celle des requêtes des Busk</w:t>
      </w:r>
      <w:r w:rsidR="004C7C1F">
        <w:t xml:space="preserve"> </w:t>
      </w:r>
      <w:r>
        <w:t>Madsen et des Pedersen.</w:t>
      </w:r>
      <w:r w:rsidR="003848D0">
        <w:t xml:space="preserve"> </w:t>
      </w:r>
      <w:r>
        <w:t>Elle les a retenues pour autant que les</w:t>
      </w:r>
      <w:r w:rsidR="004C7C1F">
        <w:t xml:space="preserve"> </w:t>
      </w:r>
      <w:r>
        <w:t>requérants attaquaient la loi de 1970 sur le terrain de l</w:t>
      </w:r>
      <w:r w:rsidR="003848D0">
        <w:t>’</w:t>
      </w:r>
      <w:r>
        <w:t>article 2 du</w:t>
      </w:r>
      <w:r w:rsidR="004C7C1F">
        <w:t xml:space="preserve"> </w:t>
      </w:r>
      <w:r>
        <w:t>du Protocole n</w:t>
      </w:r>
      <w:r w:rsidR="003848D0" w:rsidRPr="003848D0">
        <w:rPr>
          <w:vertAlign w:val="superscript"/>
        </w:rPr>
        <w:t>o</w:t>
      </w:r>
      <w:r>
        <w:t xml:space="preserve"> 1 (P1-2), mais les a rejetées, pour non-épuisement des</w:t>
      </w:r>
      <w:r w:rsidR="004C7C1F">
        <w:t xml:space="preserve"> </w:t>
      </w:r>
      <w:r>
        <w:t>voies de recours internes (article 27 par. 3) (art. 27-3), dans la</w:t>
      </w:r>
      <w:r w:rsidR="004C7C1F">
        <w:t xml:space="preserve"> </w:t>
      </w:r>
      <w:r>
        <w:t>mesure où ils se plaignaient des "directives et autres décisions</w:t>
      </w:r>
      <w:r w:rsidR="004C7C1F">
        <w:t xml:space="preserve"> </w:t>
      </w:r>
      <w:r>
        <w:t>administratives édictées par les autorités danoises" quant à la</w:t>
      </w:r>
      <w:r w:rsidR="004C7C1F">
        <w:t xml:space="preserve"> </w:t>
      </w:r>
      <w:r>
        <w:t>manière de dispenser l</w:t>
      </w:r>
      <w:r w:rsidR="003848D0">
        <w:t>’</w:t>
      </w:r>
      <w:r>
        <w:t>éducation sexuelle.</w:t>
      </w:r>
    </w:p>
    <w:p w:rsidR="003206D8" w:rsidRDefault="003206D8" w:rsidP="00886677">
      <w:pPr>
        <w:pStyle w:val="JuPara"/>
      </w:pPr>
      <w:r>
        <w:t>Dans leurs mémoires sur le fond,</w:t>
      </w:r>
      <w:r w:rsidR="00886677">
        <w:t xml:space="preserve"> M. et Mme Kjeldsen ont invoqué </w:t>
      </w:r>
      <w:r>
        <w:t>aussi les articles 8, 9 et 14 (art. 8, art. 9, art. 14) de la Convention.</w:t>
      </w:r>
    </w:p>
    <w:p w:rsidR="003206D8" w:rsidRDefault="003206D8" w:rsidP="00886677">
      <w:pPr>
        <w:pStyle w:val="JuPara"/>
      </w:pPr>
      <w:r>
        <w:t>45.</w:t>
      </w:r>
      <w:r w:rsidR="003848D0">
        <w:t xml:space="preserve"> </w:t>
      </w:r>
      <w:r>
        <w:t>Dans son rapport, daté du 21 mar</w:t>
      </w:r>
      <w:r w:rsidR="00886677">
        <w:t xml:space="preserve">s 1975, la Commission a exprimé </w:t>
      </w:r>
      <w:r>
        <w:t>l</w:t>
      </w:r>
      <w:r w:rsidR="003848D0">
        <w:t>’</w:t>
      </w:r>
      <w:r>
        <w:t>avis:</w:t>
      </w:r>
    </w:p>
    <w:p w:rsidR="003206D8" w:rsidRDefault="003206D8" w:rsidP="00886677">
      <w:pPr>
        <w:pStyle w:val="JuPara"/>
      </w:pPr>
      <w:r>
        <w:t>- que l</w:t>
      </w:r>
      <w:r w:rsidR="003848D0">
        <w:t>’</w:t>
      </w:r>
      <w:r>
        <w:t>existence du système danois d</w:t>
      </w:r>
      <w:r w:rsidR="003848D0">
        <w:t>’</w:t>
      </w:r>
      <w:r>
        <w:t>éducation sexuelle ne constitue</w:t>
      </w:r>
      <w:r w:rsidR="00886677">
        <w:t xml:space="preserve"> </w:t>
      </w:r>
      <w:r>
        <w:t>pas en soi une violation de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</w:t>
      </w:r>
      <w:r w:rsidR="00886677">
        <w:t xml:space="preserve"> </w:t>
      </w:r>
      <w:r>
        <w:t>(sept voix contre sept, avec la voix prépondérante du président,</w:t>
      </w:r>
      <w:r w:rsidR="00886677">
        <w:t xml:space="preserve"> </w:t>
      </w:r>
      <w:r>
        <w:t>article 18 par. 3 du règlement intérieur de la Commission en vigueur à</w:t>
      </w:r>
      <w:r w:rsidR="00886677">
        <w:t xml:space="preserve"> </w:t>
      </w:r>
      <w:r>
        <w:t>l</w:t>
      </w:r>
      <w:r w:rsidR="003848D0">
        <w:t>’</w:t>
      </w:r>
      <w:r>
        <w:t>époque);</w:t>
      </w:r>
    </w:p>
    <w:p w:rsidR="003206D8" w:rsidRDefault="003206D8" w:rsidP="00886677">
      <w:pPr>
        <w:pStyle w:val="JuPara"/>
      </w:pPr>
      <w:r>
        <w:t>- qu</w:t>
      </w:r>
      <w:r w:rsidR="003848D0">
        <w:t>’</w:t>
      </w:r>
      <w:r>
        <w:t>il n</w:t>
      </w:r>
      <w:r w:rsidR="003848D0">
        <w:t>’</w:t>
      </w:r>
      <w:r>
        <w:t>y a pas eu violation de l</w:t>
      </w:r>
      <w:r w:rsidR="003848D0">
        <w:t>’</w:t>
      </w:r>
      <w:r>
        <w:t>arti</w:t>
      </w:r>
      <w:r w:rsidR="00886677">
        <w:t xml:space="preserve">cle 8 (art. 8) de la Convention </w:t>
      </w:r>
      <w:r>
        <w:t>(unanimité), ni de l</w:t>
      </w:r>
      <w:r w:rsidR="003848D0">
        <w:t>’</w:t>
      </w:r>
      <w:r>
        <w:t>article 9 (art. 9) (unanimité);</w:t>
      </w:r>
    </w:p>
    <w:p w:rsidR="003206D8" w:rsidRDefault="003206D8" w:rsidP="00886677">
      <w:pPr>
        <w:pStyle w:val="JuPara"/>
      </w:pPr>
      <w:r>
        <w:t>- que les faits de la cause ne révèlent a</w:t>
      </w:r>
      <w:r w:rsidR="00886677">
        <w:t>ucune violation de l</w:t>
      </w:r>
      <w:r w:rsidR="003848D0">
        <w:t>’</w:t>
      </w:r>
      <w:r w:rsidR="00886677">
        <w:t xml:space="preserve">article 14 </w:t>
      </w:r>
      <w:r>
        <w:t>(art. 14) de la Convention (sept voix contre quatre, avec trois abstentions).</w:t>
      </w:r>
    </w:p>
    <w:p w:rsidR="003206D8" w:rsidRDefault="003206D8" w:rsidP="00886677">
      <w:pPr>
        <w:pStyle w:val="JuPara"/>
      </w:pPr>
      <w:r>
        <w:t>Le rapport contient trois opinions séparées.</w:t>
      </w:r>
    </w:p>
    <w:p w:rsidR="003206D8" w:rsidRDefault="003206D8" w:rsidP="00886677">
      <w:pPr>
        <w:pStyle w:val="JuHHead"/>
      </w:pPr>
      <w:r>
        <w:t>CONCLUSIONS PRESENTEES A LA COUR</w:t>
      </w:r>
    </w:p>
    <w:p w:rsidR="003206D8" w:rsidRDefault="003206D8" w:rsidP="00886677">
      <w:pPr>
        <w:pStyle w:val="JuPara"/>
      </w:pPr>
      <w:r>
        <w:t>46.</w:t>
      </w:r>
      <w:r w:rsidR="003848D0">
        <w:t xml:space="preserve"> </w:t>
      </w:r>
      <w:r>
        <w:t>A l</w:t>
      </w:r>
      <w:r w:rsidR="003848D0">
        <w:t>’</w:t>
      </w:r>
      <w:r>
        <w:t>audience du 2 juin 1976, le</w:t>
      </w:r>
      <w:r w:rsidR="00886677">
        <w:t xml:space="preserve">s délégués de la Commission ont </w:t>
      </w:r>
      <w:r>
        <w:t>invité la Cour à</w:t>
      </w:r>
    </w:p>
    <w:p w:rsidR="003206D8" w:rsidRDefault="003206D8" w:rsidP="00886677">
      <w:pPr>
        <w:pStyle w:val="JuQuot"/>
      </w:pPr>
      <w:r>
        <w:t>"juger si l</w:t>
      </w:r>
      <w:r w:rsidR="003848D0">
        <w:t>’</w:t>
      </w:r>
      <w:r>
        <w:t>introduction de l</w:t>
      </w:r>
      <w:r w:rsidR="003848D0">
        <w:t>’</w:t>
      </w:r>
      <w:r>
        <w:t>éducation sexuelle intégrée, et de ce</w:t>
      </w:r>
      <w:r w:rsidR="00886677">
        <w:t xml:space="preserve"> </w:t>
      </w:r>
      <w:r>
        <w:t>fait obligatoire, dans les écoles primaires publiques par la loi</w:t>
      </w:r>
      <w:r w:rsidR="00886677">
        <w:t xml:space="preserve"> </w:t>
      </w:r>
      <w:r>
        <w:t>danoise du 27 mai 1970 constitue, dans le chef des requérants, une</w:t>
      </w:r>
      <w:r w:rsidR="00886677">
        <w:t xml:space="preserve"> </w:t>
      </w:r>
      <w:r>
        <w:t>violation des droits et libertés garantis par la Convention européenne</w:t>
      </w:r>
      <w:r w:rsidR="00886677">
        <w:t xml:space="preserve"> </w:t>
      </w:r>
      <w:r>
        <w:t>des Droits de l</w:t>
      </w:r>
      <w:r w:rsidR="003848D0">
        <w:t>’</w:t>
      </w:r>
      <w:r>
        <w:t>Homme, en particulier de ceux énoncés aux articles 8,</w:t>
      </w:r>
      <w:r w:rsidR="00886677">
        <w:t xml:space="preserve"> </w:t>
      </w:r>
      <w:r>
        <w:t>9 et 14 (art. 8, art. 9, art. 14) de la Convention, ainsi qu</w:t>
      </w:r>
      <w:r w:rsidR="003848D0">
        <w:t>’</w:t>
      </w:r>
      <w:r>
        <w:t>à</w:t>
      </w:r>
      <w:r w:rsidR="00886677">
        <w:t xml:space="preserve"> </w:t>
      </w:r>
      <w:r>
        <w:t>l</w:t>
      </w:r>
      <w:r w:rsidR="003848D0">
        <w:t>’</w:t>
      </w:r>
      <w:r>
        <w:t>article 2 du premier Protocole additionnel (P1-2)."</w:t>
      </w:r>
    </w:p>
    <w:p w:rsidR="003206D8" w:rsidRDefault="003206D8" w:rsidP="00886677">
      <w:pPr>
        <w:pStyle w:val="JuPara"/>
      </w:pPr>
      <w:r>
        <w:t>De son côté le Gouvernement, sans prés</w:t>
      </w:r>
      <w:r w:rsidR="00886677">
        <w:t xml:space="preserve">enter de conclusions formelles, </w:t>
      </w:r>
      <w:r>
        <w:t>a plaidé l</w:t>
      </w:r>
      <w:r w:rsidR="003848D0">
        <w:t>’</w:t>
      </w:r>
      <w:r>
        <w:t>absence de tout manquement aux exigences de la Convention</w:t>
      </w:r>
      <w:r w:rsidR="00886677">
        <w:t xml:space="preserve"> </w:t>
      </w:r>
      <w:r>
        <w:t>et du Protocole n</w:t>
      </w:r>
      <w:r w:rsidR="003848D0" w:rsidRPr="003848D0">
        <w:rPr>
          <w:vertAlign w:val="superscript"/>
        </w:rPr>
        <w:t>o</w:t>
      </w:r>
      <w:r>
        <w:t xml:space="preserve"> 1 (P1).</w:t>
      </w:r>
    </w:p>
    <w:p w:rsidR="003206D8" w:rsidRDefault="003206D8" w:rsidP="00886677">
      <w:pPr>
        <w:pStyle w:val="JuHHead"/>
      </w:pPr>
      <w:r>
        <w:t>EN DROIT</w:t>
      </w:r>
    </w:p>
    <w:p w:rsidR="003206D8" w:rsidRDefault="003206D8" w:rsidP="00886677">
      <w:pPr>
        <w:pStyle w:val="JuPara"/>
      </w:pPr>
      <w:r>
        <w:t>47.</w:t>
      </w:r>
      <w:r w:rsidR="003848D0">
        <w:t xml:space="preserve"> </w:t>
      </w:r>
      <w:r>
        <w:t>La Cour doit d</w:t>
      </w:r>
      <w:r w:rsidR="003848D0">
        <w:t>’</w:t>
      </w:r>
      <w:r>
        <w:t xml:space="preserve">abord se prononcer </w:t>
      </w:r>
      <w:r w:rsidR="00886677">
        <w:t xml:space="preserve">sur deux questions de caractère </w:t>
      </w:r>
      <w:r>
        <w:t>préliminaire.</w:t>
      </w:r>
    </w:p>
    <w:p w:rsidR="003206D8" w:rsidRDefault="003206D8" w:rsidP="00886677">
      <w:pPr>
        <w:pStyle w:val="JuPara"/>
      </w:pPr>
      <w:r>
        <w:t>La première concerne la déclaration de retrait et la demande</w:t>
      </w:r>
      <w:r w:rsidR="00886677">
        <w:t xml:space="preserve"> </w:t>
      </w:r>
      <w:r>
        <w:t xml:space="preserve">subsidiaire de </w:t>
      </w:r>
      <w:r w:rsidR="00886677">
        <w:t>disjonctions</w:t>
      </w:r>
      <w:r>
        <w:t xml:space="preserve"> formulées par les époux Kjeldsen</w:t>
      </w:r>
      <w:r w:rsidR="00886677">
        <w:t xml:space="preserve"> </w:t>
      </w:r>
      <w:r>
        <w:t>(paragraphe 11 ci-dessus).</w:t>
      </w:r>
    </w:p>
    <w:p w:rsidR="003206D8" w:rsidRDefault="00886677" w:rsidP="00886677">
      <w:pPr>
        <w:pStyle w:val="JuPara"/>
      </w:pPr>
      <w:r>
        <w:t>Émanant</w:t>
      </w:r>
      <w:r w:rsidR="003206D8">
        <w:t xml:space="preserve"> de particuliers que la Conven</w:t>
      </w:r>
      <w:r>
        <w:t>tion n</w:t>
      </w:r>
      <w:r w:rsidR="003848D0">
        <w:t>’</w:t>
      </w:r>
      <w:r>
        <w:t xml:space="preserve">habilite pas à saisir la </w:t>
      </w:r>
      <w:r w:rsidR="003206D8">
        <w:t>Cour, la déclaration dont il s</w:t>
      </w:r>
      <w:r w:rsidR="003848D0">
        <w:t>’</w:t>
      </w:r>
      <w:r w:rsidR="003206D8">
        <w:t>agit ne saurait déployer les effets</w:t>
      </w:r>
      <w:r>
        <w:t xml:space="preserve"> </w:t>
      </w:r>
      <w:r w:rsidR="003206D8">
        <w:t>d</w:t>
      </w:r>
      <w:r w:rsidR="003848D0">
        <w:t>’</w:t>
      </w:r>
      <w:r w:rsidR="003206D8">
        <w:t>un désistement dans la présente procédure (arrêt De Becker du</w:t>
      </w:r>
      <w:r>
        <w:t xml:space="preserve"> </w:t>
      </w:r>
      <w:r w:rsidR="003206D8">
        <w:t>27 mars 1962, série A n</w:t>
      </w:r>
      <w:r w:rsidR="003848D0" w:rsidRPr="003848D0">
        <w:rPr>
          <w:vertAlign w:val="superscript"/>
        </w:rPr>
        <w:t>o</w:t>
      </w:r>
      <w:r w:rsidR="003206D8">
        <w:t xml:space="preserve"> 4, p. 23, par. 4).</w:t>
      </w:r>
      <w:r w:rsidR="003848D0">
        <w:t xml:space="preserve"> </w:t>
      </w:r>
      <w:r w:rsidR="003206D8">
        <w:t>Le paragraphe 1 de l</w:t>
      </w:r>
      <w:r w:rsidR="003848D0">
        <w:t>’</w:t>
      </w:r>
      <w:r w:rsidR="003206D8">
        <w:t>article 47</w:t>
      </w:r>
      <w:r>
        <w:t xml:space="preserve"> </w:t>
      </w:r>
      <w:r w:rsidR="003206D8">
        <w:t>du règlement ne joue pas en l</w:t>
      </w:r>
      <w:r w:rsidR="003848D0">
        <w:t>’</w:t>
      </w:r>
      <w:r w:rsidR="003206D8">
        <w:t>espèce car il vaut uniquement pour le</w:t>
      </w:r>
      <w:r>
        <w:t xml:space="preserve"> </w:t>
      </w:r>
      <w:r w:rsidR="003206D8">
        <w:t>désistement d</w:t>
      </w:r>
      <w:r w:rsidR="003848D0">
        <w:t>’</w:t>
      </w:r>
      <w:r w:rsidR="003206D8">
        <w:t>une "Partie requérante devant la Cour", c</w:t>
      </w:r>
      <w:r w:rsidR="003848D0">
        <w:t>’</w:t>
      </w:r>
      <w:r w:rsidR="003206D8">
        <w:t>est-à-dire d</w:t>
      </w:r>
      <w:r w:rsidR="003848D0">
        <w:t>’</w:t>
      </w:r>
      <w:r w:rsidR="003206D8">
        <w:t>un</w:t>
      </w:r>
      <w:r>
        <w:t xml:space="preserve"> État</w:t>
      </w:r>
      <w:r w:rsidR="003206D8">
        <w:t xml:space="preserve"> contractant qui a introduit une instance auprès de celle-ci</w:t>
      </w:r>
      <w:r>
        <w:t xml:space="preserve"> </w:t>
      </w:r>
      <w:r w:rsidR="003206D8">
        <w:t>(alinéa h) de l</w:t>
      </w:r>
      <w:r w:rsidR="003848D0">
        <w:t>’</w:t>
      </w:r>
      <w:r w:rsidR="003206D8">
        <w:t>article 1).</w:t>
      </w:r>
      <w:r w:rsidR="003848D0">
        <w:t xml:space="preserve"> </w:t>
      </w:r>
      <w:r w:rsidR="003206D8">
        <w:t>Sans doute le paragraphe 2 prévoit-il que</w:t>
      </w:r>
      <w:r>
        <w:t xml:space="preserve"> </w:t>
      </w:r>
      <w:r w:rsidR="003206D8">
        <w:t>la Cour peut, sous réserve du paragraphe 3, rayer du rôle une affaire</w:t>
      </w:r>
      <w:r>
        <w:t xml:space="preserve"> </w:t>
      </w:r>
      <w:r w:rsidR="003206D8">
        <w:t xml:space="preserve">portée devant elle par la Commission, mais il </w:t>
      </w:r>
      <w:r>
        <w:t>subordonne</w:t>
      </w:r>
      <w:r w:rsidR="003206D8">
        <w:t xml:space="preserve"> pareille</w:t>
      </w:r>
      <w:r>
        <w:t xml:space="preserve"> </w:t>
      </w:r>
      <w:r w:rsidR="003206D8">
        <w:t>décision à l</w:t>
      </w:r>
      <w:r w:rsidR="003848D0">
        <w:t>’</w:t>
      </w:r>
      <w:r w:rsidR="003206D8">
        <w:t>existence "d</w:t>
      </w:r>
      <w:r w:rsidR="003848D0">
        <w:t>’</w:t>
      </w:r>
      <w:r w:rsidR="003206D8">
        <w:t>un règlement amiable, arrangement ou autre</w:t>
      </w:r>
      <w:r>
        <w:t xml:space="preserve"> </w:t>
      </w:r>
      <w:r w:rsidR="003206D8">
        <w:t>fait de nature à fournir une solution du litige".</w:t>
      </w:r>
      <w:r w:rsidR="003848D0">
        <w:t xml:space="preserve"> </w:t>
      </w:r>
      <w:r w:rsidR="003206D8">
        <w:t>Or cette condition,</w:t>
      </w:r>
      <w:r>
        <w:t xml:space="preserve"> </w:t>
      </w:r>
      <w:r w:rsidR="003206D8">
        <w:t>ainsi que le délégué principal de la Commission l</w:t>
      </w:r>
      <w:r w:rsidR="003848D0">
        <w:t>’</w:t>
      </w:r>
      <w:r w:rsidR="003206D8">
        <w:t>a souligné à</w:t>
      </w:r>
      <w:r>
        <w:t xml:space="preserve"> </w:t>
      </w:r>
      <w:r w:rsidR="003206D8">
        <w:t>l</w:t>
      </w:r>
      <w:r w:rsidR="003848D0">
        <w:t>’</w:t>
      </w:r>
      <w:r w:rsidR="003206D8">
        <w:t>audience de la matinée du 1er juin 1976, ne se trouve pas remplie</w:t>
      </w:r>
      <w:r>
        <w:t xml:space="preserve"> </w:t>
      </w:r>
      <w:r w:rsidR="003206D8">
        <w:t>dans le cas des Kjeldsen.</w:t>
      </w:r>
      <w:r w:rsidR="003848D0">
        <w:t xml:space="preserve"> </w:t>
      </w:r>
      <w:r w:rsidR="003206D8">
        <w:t>En outre, la radiation du rôle - que le</w:t>
      </w:r>
      <w:r>
        <w:t xml:space="preserve"> </w:t>
      </w:r>
      <w:r w:rsidR="003206D8">
        <w:t>Gouvernement n</w:t>
      </w:r>
      <w:r w:rsidR="003848D0">
        <w:t>’</w:t>
      </w:r>
      <w:r w:rsidR="003206D8">
        <w:t>a du reste pas sollicitée - n</w:t>
      </w:r>
      <w:r w:rsidR="003848D0">
        <w:t>’</w:t>
      </w:r>
      <w:r w:rsidR="003206D8">
        <w:t>offrirait aucun intérêt</w:t>
      </w:r>
      <w:r>
        <w:t xml:space="preserve"> </w:t>
      </w:r>
      <w:r w:rsidR="003206D8">
        <w:t>pratique en l</w:t>
      </w:r>
      <w:r w:rsidR="003848D0">
        <w:t>’</w:t>
      </w:r>
      <w:r w:rsidR="003206D8">
        <w:t>occurrence: limitée à la requête n</w:t>
      </w:r>
      <w:r w:rsidR="003848D0" w:rsidRPr="003848D0">
        <w:rPr>
          <w:vertAlign w:val="superscript"/>
        </w:rPr>
        <w:t>o</w:t>
      </w:r>
      <w:r w:rsidR="003206D8">
        <w:t xml:space="preserve"> 5095/71, elle</w:t>
      </w:r>
      <w:r>
        <w:t xml:space="preserve"> </w:t>
      </w:r>
      <w:r w:rsidR="003206D8">
        <w:t>laisserait subsister celles des époux Busk Madsen (n</w:t>
      </w:r>
      <w:r w:rsidR="003848D0" w:rsidRPr="003848D0">
        <w:rPr>
          <w:vertAlign w:val="superscript"/>
        </w:rPr>
        <w:t>o</w:t>
      </w:r>
      <w:r w:rsidR="003206D8">
        <w:t xml:space="preserve"> 5920/72) et</w:t>
      </w:r>
      <w:r>
        <w:t xml:space="preserve"> </w:t>
      </w:r>
      <w:r w:rsidR="003206D8">
        <w:t>Pedersen (n</w:t>
      </w:r>
      <w:r w:rsidR="003848D0" w:rsidRPr="003848D0">
        <w:rPr>
          <w:vertAlign w:val="superscript"/>
        </w:rPr>
        <w:t>o</w:t>
      </w:r>
      <w:r w:rsidR="003206D8">
        <w:t xml:space="preserve"> 5926/72), qui soulèvent le même problème fondamental.</w:t>
      </w:r>
    </w:p>
    <w:p w:rsidR="003206D8" w:rsidRDefault="003206D8" w:rsidP="00886677">
      <w:pPr>
        <w:pStyle w:val="JuPara"/>
      </w:pPr>
      <w:r>
        <w:t>Cette dernière considération amène</w:t>
      </w:r>
      <w:r w:rsidR="00886677">
        <w:t xml:space="preserve"> la Cour à écarter également la </w:t>
      </w:r>
      <w:r>
        <w:t>demande de disjonction.</w:t>
      </w:r>
    </w:p>
    <w:p w:rsidR="003206D8" w:rsidRDefault="003206D8" w:rsidP="00886677">
      <w:pPr>
        <w:pStyle w:val="JuPara"/>
      </w:pPr>
      <w:r>
        <w:t>48.</w:t>
      </w:r>
      <w:r w:rsidR="003848D0">
        <w:t xml:space="preserve"> </w:t>
      </w:r>
      <w:r>
        <w:t>En second lieu, la Cour estime nécessaire de circonscrire l</w:t>
      </w:r>
      <w:r w:rsidR="003848D0">
        <w:t>’</w:t>
      </w:r>
      <w:r>
        <w:t>objet</w:t>
      </w:r>
      <w:r w:rsidR="00886677">
        <w:t xml:space="preserve"> </w:t>
      </w:r>
      <w:r>
        <w:t>de l</w:t>
      </w:r>
      <w:r w:rsidR="003848D0">
        <w:t>’</w:t>
      </w:r>
      <w:r>
        <w:t>examen auquel il lui incombe de se livrer.</w:t>
      </w:r>
    </w:p>
    <w:p w:rsidR="003206D8" w:rsidRDefault="003206D8" w:rsidP="00886677">
      <w:pPr>
        <w:pStyle w:val="JuPara"/>
      </w:pPr>
      <w:r>
        <w:t xml:space="preserve">En 1972 et 1973, la Commission a </w:t>
      </w:r>
      <w:r w:rsidR="00886677">
        <w:t xml:space="preserve">retenu les requêtes pour autant </w:t>
      </w:r>
      <w:r>
        <w:t>qu</w:t>
      </w:r>
      <w:r w:rsidR="003848D0">
        <w:t>’</w:t>
      </w:r>
      <w:r>
        <w:t>elles contestaient la compatibilité de la loi du 27 mai 1970,</w:t>
      </w:r>
      <w:r w:rsidR="00886677">
        <w:t xml:space="preserve"> </w:t>
      </w:r>
      <w:r>
        <w:t>rendant l</w:t>
      </w:r>
      <w:r w:rsidR="003848D0">
        <w:t>’</w:t>
      </w:r>
      <w:r>
        <w:t>éducation sexuelle obligatoire dans les écoles publiques,</w:t>
      </w:r>
      <w:r w:rsidR="00886677">
        <w:t xml:space="preserve"> </w:t>
      </w:r>
      <w:r>
        <w:t>avec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(P1-2); elle les a jugées irrecevables,</w:t>
      </w:r>
      <w:r w:rsidR="00886677">
        <w:t xml:space="preserve"> </w:t>
      </w:r>
      <w:r>
        <w:t>pour non-épuisement des voies de recours internes, pour autant</w:t>
      </w:r>
      <w:r w:rsidR="00886677">
        <w:t xml:space="preserve"> </w:t>
      </w:r>
      <w:r>
        <w:t>qu</w:t>
      </w:r>
      <w:r w:rsidR="003848D0">
        <w:t>’</w:t>
      </w:r>
      <w:r>
        <w:t>elles avaient trait aux "directives et autres mesures</w:t>
      </w:r>
      <w:r w:rsidR="00886677">
        <w:t xml:space="preserve"> </w:t>
      </w:r>
      <w:r>
        <w:t>administratives édictées par les autorités danoises" quant à la</w:t>
      </w:r>
      <w:r w:rsidR="00886677">
        <w:t xml:space="preserve"> </w:t>
      </w:r>
      <w:r>
        <w:t>manière de dispenser cette éduca</w:t>
      </w:r>
      <w:r w:rsidR="00886677">
        <w:t>tion.</w:t>
      </w:r>
      <w:r w:rsidR="003848D0">
        <w:t xml:space="preserve"> </w:t>
      </w:r>
      <w:r w:rsidR="00886677">
        <w:t xml:space="preserve">Au paragraphe 141 de son </w:t>
      </w:r>
      <w:r>
        <w:t>rapport du 21 mars 1975 elle a indiqué, avant de formuler son avis sur</w:t>
      </w:r>
      <w:r w:rsidR="00886677">
        <w:t xml:space="preserve"> </w:t>
      </w:r>
      <w:r>
        <w:t>le fond du litige, qu</w:t>
      </w:r>
      <w:r w:rsidR="003848D0">
        <w:t>’</w:t>
      </w:r>
      <w:r>
        <w:t>elle avait pour tâche de s</w:t>
      </w:r>
      <w:r w:rsidR="003848D0">
        <w:t>’</w:t>
      </w:r>
      <w:r>
        <w:t>occuper "de la</w:t>
      </w:r>
      <w:r w:rsidR="00886677">
        <w:t xml:space="preserve"> </w:t>
      </w:r>
      <w:r>
        <w:t>législation danoise prévoyant l</w:t>
      </w:r>
      <w:r w:rsidR="003848D0">
        <w:t>’</w:t>
      </w:r>
      <w:r>
        <w:t>éducation sexuelle intégrée" et non</w:t>
      </w:r>
      <w:r w:rsidR="00886677">
        <w:t xml:space="preserve"> </w:t>
      </w:r>
      <w:r>
        <w:t>"de la manière dont cette éducation est dispensée dans différentes</w:t>
      </w:r>
      <w:r w:rsidR="00886677">
        <w:t xml:space="preserve"> </w:t>
      </w:r>
      <w:r>
        <w:t>écoles"; au paragraphe 142, elle a précisé que par législation elle</w:t>
      </w:r>
      <w:r w:rsidR="00886677">
        <w:t xml:space="preserve"> </w:t>
      </w:r>
      <w:r>
        <w:t>entendait la loi n</w:t>
      </w:r>
      <w:r w:rsidR="003848D0" w:rsidRPr="003848D0">
        <w:rPr>
          <w:vertAlign w:val="superscript"/>
        </w:rPr>
        <w:t>o</w:t>
      </w:r>
      <w:r>
        <w:t xml:space="preserve"> 235 du 27 mai 1970, le décret n</w:t>
      </w:r>
      <w:r w:rsidR="003848D0" w:rsidRPr="003848D0">
        <w:rPr>
          <w:vertAlign w:val="superscript"/>
        </w:rPr>
        <w:t>o</w:t>
      </w:r>
      <w:r>
        <w:t xml:space="preserve"> 274 du</w:t>
      </w:r>
      <w:r w:rsidR="00886677">
        <w:t xml:space="preserve"> </w:t>
      </w:r>
      <w:r>
        <w:t>8 juin 1971 et le décret n</w:t>
      </w:r>
      <w:r w:rsidR="003848D0" w:rsidRPr="003848D0">
        <w:rPr>
          <w:vertAlign w:val="superscript"/>
        </w:rPr>
        <w:t>o</w:t>
      </w:r>
      <w:r>
        <w:t xml:space="preserve"> 313 du 15 </w:t>
      </w:r>
      <w:r w:rsidR="00886677">
        <w:t>juin 1972.</w:t>
      </w:r>
      <w:r w:rsidR="003848D0">
        <w:t xml:space="preserve"> </w:t>
      </w:r>
      <w:r w:rsidR="00886677">
        <w:t xml:space="preserve">Le résumé des faits </w:t>
      </w:r>
      <w:r>
        <w:t>figurant dans le rapport mentionnait en outre le "guide" d</w:t>
      </w:r>
      <w:r w:rsidR="003848D0">
        <w:t>’</w:t>
      </w:r>
      <w:r>
        <w:t>avril 1971</w:t>
      </w:r>
      <w:r w:rsidR="00886677">
        <w:t xml:space="preserve"> </w:t>
      </w:r>
      <w:r>
        <w:t>et la circulaire ministérielle du 8 juin 1971 sur l</w:t>
      </w:r>
      <w:r w:rsidR="003848D0">
        <w:t>’</w:t>
      </w:r>
      <w:r>
        <w:t>éducation sexuelle</w:t>
      </w:r>
      <w:r w:rsidR="00886677">
        <w:t xml:space="preserve"> </w:t>
      </w:r>
      <w:r>
        <w:t>dans les écoles publiques.</w:t>
      </w:r>
      <w:r w:rsidR="003848D0">
        <w:t xml:space="preserve"> </w:t>
      </w:r>
      <w:r>
        <w:t>De même, la demande introductive</w:t>
      </w:r>
      <w:r w:rsidR="00886677">
        <w:t xml:space="preserve"> </w:t>
      </w:r>
      <w:r>
        <w:t>d</w:t>
      </w:r>
      <w:r w:rsidR="003848D0">
        <w:t>’</w:t>
      </w:r>
      <w:r>
        <w:t>instance du 24 juillet 1975 parlait de la "législation danoise" et</w:t>
      </w:r>
      <w:r w:rsidR="00886677">
        <w:t xml:space="preserve"> </w:t>
      </w:r>
      <w:r>
        <w:t>non de la seule loi du 27 mai 1970.</w:t>
      </w:r>
      <w:r w:rsidR="003848D0">
        <w:t xml:space="preserve"> </w:t>
      </w:r>
      <w:r>
        <w:t>Dans leur mémoire du 11 mai 1976</w:t>
      </w:r>
      <w:r w:rsidR="00886677">
        <w:t xml:space="preserve"> </w:t>
      </w:r>
      <w:r>
        <w:t>et pendant les débats des 1er et 2 juin 1976, les délégués de la</w:t>
      </w:r>
      <w:r w:rsidR="00886677">
        <w:t xml:space="preserve"> </w:t>
      </w:r>
      <w:r>
        <w:t>Commission ont cité de larges extraits du "guide" d</w:t>
      </w:r>
      <w:r w:rsidR="003848D0">
        <w:t>’</w:t>
      </w:r>
      <w:r>
        <w:t>avril 1971 et des</w:t>
      </w:r>
      <w:r w:rsidR="00886677">
        <w:t xml:space="preserve"> </w:t>
      </w:r>
      <w:r>
        <w:t>décrets des 8 juin 1971 et 15 juin 1972, encore que leurs conclusions</w:t>
      </w:r>
      <w:r w:rsidR="00886677">
        <w:t xml:space="preserve"> </w:t>
      </w:r>
      <w:r>
        <w:t>finales se réfèrent uniquement à la loi du 27 mai 1970.</w:t>
      </w:r>
      <w:r w:rsidR="003848D0">
        <w:t xml:space="preserve"> </w:t>
      </w:r>
      <w:r>
        <w:t>Ils ont</w:t>
      </w:r>
      <w:r w:rsidR="00886677">
        <w:t xml:space="preserve"> </w:t>
      </w:r>
      <w:r>
        <w:t>exprimé l</w:t>
      </w:r>
      <w:r w:rsidR="003848D0">
        <w:t>’</w:t>
      </w:r>
      <w:r>
        <w:t>opinion que si la Cour n</w:t>
      </w:r>
      <w:r w:rsidR="003848D0">
        <w:t>’</w:t>
      </w:r>
      <w:r>
        <w:t>a</w:t>
      </w:r>
      <w:r w:rsidR="00886677">
        <w:t xml:space="preserve"> pas à connaître des "modalités </w:t>
      </w:r>
      <w:r>
        <w:t>d</w:t>
      </w:r>
      <w:r w:rsidR="003848D0">
        <w:t>’</w:t>
      </w:r>
      <w:r>
        <w:t>enseignement de l</w:t>
      </w:r>
      <w:r w:rsidR="003848D0">
        <w:t>’</w:t>
      </w:r>
      <w:r>
        <w:t>éducation sexuelle dans les différentes écoles",</w:t>
      </w:r>
      <w:r w:rsidR="00886677">
        <w:t xml:space="preserve"> </w:t>
      </w:r>
      <w:r>
        <w:t>c</w:t>
      </w:r>
      <w:r w:rsidR="003848D0">
        <w:t>’</w:t>
      </w:r>
      <w:r>
        <w:t>est-à-dire des mesures adoptées "par les autorités municipales et</w:t>
      </w:r>
      <w:r w:rsidR="00886677">
        <w:t xml:space="preserve"> </w:t>
      </w:r>
      <w:r>
        <w:t>par les conseils de parents", il lui est "loisible (...) d</w:t>
      </w:r>
      <w:r w:rsidR="003848D0">
        <w:t>’</w:t>
      </w:r>
      <w:r>
        <w:t>examiner</w:t>
      </w:r>
      <w:r w:rsidR="00886677">
        <w:t xml:space="preserve"> </w:t>
      </w:r>
      <w:r>
        <w:t>les diverses mesures d</w:t>
      </w:r>
      <w:r w:rsidR="003848D0">
        <w:t>’</w:t>
      </w:r>
      <w:r>
        <w:t>ordre général prises par le Gouvernement" et</w:t>
      </w:r>
      <w:r w:rsidR="00886677">
        <w:t xml:space="preserve"> </w:t>
      </w:r>
      <w:r>
        <w:t>que son contrôle s</w:t>
      </w:r>
      <w:r w:rsidR="003848D0">
        <w:t>’</w:t>
      </w:r>
      <w:r>
        <w:t>étend aux décrets des 8 juin 1971 et 15 juin 1972</w:t>
      </w:r>
      <w:r w:rsidR="00886677">
        <w:t xml:space="preserve"> </w:t>
      </w:r>
      <w:r>
        <w:t>pour autant, "tout au moins", où ils servent "à l</w:t>
      </w:r>
      <w:r w:rsidR="003848D0">
        <w:t>’</w:t>
      </w:r>
      <w:r>
        <w:t>interprétation de la</w:t>
      </w:r>
      <w:r w:rsidR="00886677">
        <w:t xml:space="preserve"> </w:t>
      </w:r>
      <w:r>
        <w:t>loi" du 27 mai 1970.</w:t>
      </w:r>
      <w:r w:rsidR="003848D0">
        <w:t xml:space="preserve"> </w:t>
      </w:r>
      <w:r>
        <w:t>D</w:t>
      </w:r>
      <w:r w:rsidR="003848D0">
        <w:t>’</w:t>
      </w:r>
      <w:r>
        <w:t>après les délégués, Commission et Gouvernement</w:t>
      </w:r>
      <w:r w:rsidR="00886677">
        <w:t xml:space="preserve"> </w:t>
      </w:r>
      <w:r>
        <w:t>semblent s</w:t>
      </w:r>
      <w:r w:rsidR="003848D0">
        <w:t>’</w:t>
      </w:r>
      <w:r>
        <w:t>accorder sur "cette interprétation des décisions sur la</w:t>
      </w:r>
      <w:r w:rsidR="00886677">
        <w:t xml:space="preserve"> </w:t>
      </w:r>
      <w:r>
        <w:t>recevabilité", dont la rédaction laissait place à "certaines</w:t>
      </w:r>
      <w:r w:rsidR="00886677">
        <w:t xml:space="preserve"> </w:t>
      </w:r>
      <w:r>
        <w:t>incertitudes".</w:t>
      </w:r>
    </w:p>
    <w:p w:rsidR="003206D8" w:rsidRDefault="003206D8" w:rsidP="00886677">
      <w:pPr>
        <w:pStyle w:val="JuPara"/>
      </w:pPr>
      <w:r>
        <w:t>Dans son mémoire du 8 mars 19</w:t>
      </w:r>
      <w:r w:rsidR="00886677">
        <w:t xml:space="preserve">76, le Gouvernement a déduit du </w:t>
      </w:r>
      <w:r>
        <w:t>paragraphe 141 du rapport de la Commission "qu</w:t>
      </w:r>
      <w:r w:rsidR="003848D0">
        <w:t>’</w:t>
      </w:r>
      <w:r>
        <w:t>en examinant l</w:t>
      </w:r>
      <w:r w:rsidR="003848D0">
        <w:t>’</w:t>
      </w:r>
      <w:r>
        <w:t>affaire</w:t>
      </w:r>
      <w:r w:rsidR="00886677">
        <w:t xml:space="preserve"> </w:t>
      </w:r>
      <w:r>
        <w:t>il faut partir de l</w:t>
      </w:r>
      <w:r w:rsidR="003848D0">
        <w:t>’</w:t>
      </w:r>
      <w:r>
        <w:t>idée que la loi" du 27 mai 1970 "est appliquée</w:t>
      </w:r>
      <w:r w:rsidR="00886677">
        <w:t xml:space="preserve"> </w:t>
      </w:r>
      <w:r>
        <w:t>conformément aux principes énoncés dans le décret du 15 juin 1972".</w:t>
      </w:r>
      <w:r w:rsidR="00886677">
        <w:t xml:space="preserve"> </w:t>
      </w:r>
      <w:r>
        <w:t>Au nombre des "pièces sur la base desquelles (la Cour) doit agir", il</w:t>
      </w:r>
      <w:r w:rsidR="00886677">
        <w:t xml:space="preserve"> </w:t>
      </w:r>
      <w:r>
        <w:t>a rangé les décrets et circulaires des 8 juin 1971 et 15 juin 1972, à</w:t>
      </w:r>
      <w:r w:rsidR="00886677">
        <w:t xml:space="preserve"> </w:t>
      </w:r>
      <w:r>
        <w:t>la suite de quoi le greffier s</w:t>
      </w:r>
      <w:r w:rsidR="003848D0">
        <w:t>’</w:t>
      </w:r>
      <w:r>
        <w:t>en est procuré le texte auprès de la</w:t>
      </w:r>
      <w:r w:rsidR="00886677">
        <w:t xml:space="preserve"> </w:t>
      </w:r>
      <w:r>
        <w:t>Commission sur les instructions du président de la Chambre (ordonnance</w:t>
      </w:r>
      <w:r w:rsidR="00886677">
        <w:t xml:space="preserve"> </w:t>
      </w:r>
      <w:r>
        <w:t>du 20 mars 1976).</w:t>
      </w:r>
      <w:r w:rsidR="003848D0">
        <w:t xml:space="preserve"> </w:t>
      </w:r>
      <w:r>
        <w:t>"Pour prévenir l</w:t>
      </w:r>
      <w:r w:rsidR="003848D0">
        <w:t>’</w:t>
      </w:r>
      <w:r>
        <w:t>eff</w:t>
      </w:r>
      <w:r w:rsidR="00886677">
        <w:t>et d</w:t>
      </w:r>
      <w:r w:rsidR="003848D0">
        <w:t>’</w:t>
      </w:r>
      <w:r w:rsidR="00886677">
        <w:t xml:space="preserve">idées erronées quant à </w:t>
      </w:r>
      <w:r w:rsidR="003848D0">
        <w:t>‘</w:t>
      </w:r>
      <w:r w:rsidR="00886677">
        <w:t xml:space="preserve">la </w:t>
      </w:r>
      <w:r>
        <w:t>manière dont est dispensée l</w:t>
      </w:r>
      <w:r w:rsidR="003848D0">
        <w:t>’</w:t>
      </w:r>
      <w:r>
        <w:t>éducation sexuelle</w:t>
      </w:r>
      <w:r w:rsidR="003848D0">
        <w:t>’</w:t>
      </w:r>
      <w:r>
        <w:t>", le Gouvernement a</w:t>
      </w:r>
      <w:r w:rsidR="00886677">
        <w:t xml:space="preserve"> </w:t>
      </w:r>
      <w:r>
        <w:t>en outre fourni au greffe une traduction anglaise du "guide" d</w:t>
      </w:r>
      <w:r w:rsidR="003848D0">
        <w:t>’</w:t>
      </w:r>
      <w:r>
        <w:t>avril 1971,</w:t>
      </w:r>
      <w:r w:rsidR="00886677">
        <w:t xml:space="preserve"> </w:t>
      </w:r>
      <w:r>
        <w:t>de la préface duquel son agent a lu un passage dans sa plaidoirie du</w:t>
      </w:r>
      <w:r w:rsidR="00886677">
        <w:t xml:space="preserve"> </w:t>
      </w:r>
      <w:r>
        <w:t>1er juin 1976.</w:t>
      </w:r>
    </w:p>
    <w:p w:rsidR="003206D8" w:rsidRDefault="003206D8" w:rsidP="00886677">
      <w:pPr>
        <w:pStyle w:val="JuPara"/>
      </w:pPr>
      <w:r>
        <w:t>La Cour estime, dans ces conditio</w:t>
      </w:r>
      <w:r w:rsidR="00886677">
        <w:t>ns, qu</w:t>
      </w:r>
      <w:r w:rsidR="003848D0">
        <w:t>’</w:t>
      </w:r>
      <w:r w:rsidR="00886677">
        <w:t xml:space="preserve">elle se trouve appelée à </w:t>
      </w:r>
      <w:r>
        <w:t>rechercher si la loi du 27 mai 1970 et la législation subsidiaire de</w:t>
      </w:r>
      <w:r w:rsidR="00886677">
        <w:t xml:space="preserve"> </w:t>
      </w:r>
      <w:r>
        <w:t>caractère général promulguée en vertu de ses clauses enfreignent ou</w:t>
      </w:r>
      <w:r w:rsidR="00886677">
        <w:t xml:space="preserve"> </w:t>
      </w:r>
      <w:r>
        <w:t>non la Convention et le Protocole n</w:t>
      </w:r>
      <w:r w:rsidR="003848D0" w:rsidRPr="003848D0">
        <w:rPr>
          <w:vertAlign w:val="superscript"/>
        </w:rPr>
        <w:t>o</w:t>
      </w:r>
      <w:r>
        <w:t xml:space="preserve"> 1 (P1), tandis que les mesures</w:t>
      </w:r>
      <w:r w:rsidR="00886677">
        <w:t xml:space="preserve"> </w:t>
      </w:r>
      <w:r>
        <w:t>particulières d</w:t>
      </w:r>
      <w:r w:rsidR="003848D0">
        <w:t>’</w:t>
      </w:r>
      <w:r>
        <w:t>application arrêtées au niveau de chaque commune ou</w:t>
      </w:r>
      <w:r w:rsidR="00886677">
        <w:t xml:space="preserve"> </w:t>
      </w:r>
      <w:r>
        <w:t>établissement scolaire échappent à son contrôle.</w:t>
      </w:r>
      <w:r w:rsidR="003848D0">
        <w:t xml:space="preserve"> </w:t>
      </w:r>
      <w:r>
        <w:t>En son article 1 par. 25,</w:t>
      </w:r>
      <w:r w:rsidR="00886677">
        <w:t xml:space="preserve"> </w:t>
      </w:r>
      <w:r>
        <w:t>la loi du 27 mai 1970 se bornait à compléter la liste des matières</w:t>
      </w:r>
      <w:r w:rsidR="00886677">
        <w:t xml:space="preserve"> </w:t>
      </w:r>
      <w:r>
        <w:t>obligatoires "intégrées" en y ajoutant, entre autres, l</w:t>
      </w:r>
      <w:r w:rsidR="003848D0">
        <w:t>’</w:t>
      </w:r>
      <w:r>
        <w:t>éducation</w:t>
      </w:r>
      <w:r w:rsidR="00886677">
        <w:t xml:space="preserve"> </w:t>
      </w:r>
      <w:r>
        <w:t>sexuelle; il incombait au ministre de l</w:t>
      </w:r>
      <w:r w:rsidR="003848D0">
        <w:t>’</w:t>
      </w:r>
      <w:r>
        <w:t>éducation nationale de définir</w:t>
      </w:r>
      <w:r w:rsidR="00886677">
        <w:t xml:space="preserve"> </w:t>
      </w:r>
      <w:r>
        <w:t>les modalités de mise en oeuvre du principe ainsi</w:t>
      </w:r>
      <w:r w:rsidR="00886677">
        <w:t xml:space="preserve"> retenu </w:t>
      </w:r>
      <w:r>
        <w:t>(paragraphe 22</w:t>
      </w:r>
      <w:r w:rsidR="00886677">
        <w:t xml:space="preserve"> </w:t>
      </w:r>
      <w:r>
        <w:t>ci-dessus).</w:t>
      </w:r>
      <w:r w:rsidR="003848D0">
        <w:t xml:space="preserve"> </w:t>
      </w:r>
      <w:r w:rsidR="00886677">
        <w:t>Élaborés</w:t>
      </w:r>
      <w:r>
        <w:t xml:space="preserve"> en exécution de ce mandat, décrets et circulaires</w:t>
      </w:r>
      <w:r w:rsidR="00886677">
        <w:t xml:space="preserve"> </w:t>
      </w:r>
      <w:r>
        <w:t>des 8 juin 1971 et 15 juin 1972 forment donc un tout avec la loi</w:t>
      </w:r>
      <w:r w:rsidR="00886677">
        <w:t xml:space="preserve"> </w:t>
      </w:r>
      <w:r>
        <w:t>elle-même; la Cour ne peut apprécier celle-ci qu</w:t>
      </w:r>
      <w:r w:rsidR="003848D0">
        <w:t>’</w:t>
      </w:r>
      <w:r>
        <w:t>à leur lumière, sans</w:t>
      </w:r>
      <w:r w:rsidR="00886677">
        <w:t xml:space="preserve"> </w:t>
      </w:r>
      <w:r>
        <w:t>quoi sa saisine n</w:t>
      </w:r>
      <w:r w:rsidR="003848D0">
        <w:t>’</w:t>
      </w:r>
      <w:r>
        <w:t>aurait d</w:t>
      </w:r>
      <w:r w:rsidR="003848D0">
        <w:t>’</w:t>
      </w:r>
      <w:r>
        <w:t>ailleurs guère offert d</w:t>
      </w:r>
      <w:r w:rsidR="003848D0">
        <w:t>’</w:t>
      </w:r>
      <w:r>
        <w:t>utilité en</w:t>
      </w:r>
      <w:r w:rsidR="00886677">
        <w:t xml:space="preserve"> l</w:t>
      </w:r>
      <w:r w:rsidR="003848D0">
        <w:t>’</w:t>
      </w:r>
      <w:r w:rsidR="00886677">
        <w:t>espèce.</w:t>
      </w:r>
      <w:r w:rsidR="003848D0">
        <w:t xml:space="preserve"> </w:t>
      </w:r>
      <w:r w:rsidR="00886677">
        <w:t>Il échoi</w:t>
      </w:r>
      <w:r>
        <w:t>t cependant de relever, avec la Commission</w:t>
      </w:r>
      <w:r w:rsidR="00886677">
        <w:t xml:space="preserve"> </w:t>
      </w:r>
      <w:r>
        <w:t>(paragraphe 145 in fine du rapport), que sortent du cadre de la</w:t>
      </w:r>
      <w:r w:rsidR="00886677">
        <w:t xml:space="preserve"> </w:t>
      </w:r>
      <w:r>
        <w:t>présente affaire les dispositions relatives aux cours spéciaux et</w:t>
      </w:r>
      <w:r w:rsidR="00886677">
        <w:t xml:space="preserve"> </w:t>
      </w:r>
      <w:r>
        <w:t>facultatifs d</w:t>
      </w:r>
      <w:r w:rsidR="003848D0">
        <w:t>’</w:t>
      </w:r>
      <w:r>
        <w:t>éducation sexuelle (articles 1 par. 2 in fine, 2 par. 1</w:t>
      </w:r>
      <w:r w:rsidR="00886677">
        <w:t xml:space="preserve"> </w:t>
      </w:r>
      <w:r>
        <w:t>in fine, 3 par. 2 et 4 par. 2 in</w:t>
      </w:r>
      <w:r w:rsidR="00886677">
        <w:t xml:space="preserve"> fine du décret du 8 juin 1971, </w:t>
      </w:r>
      <w:r>
        <w:t>puis</w:t>
      </w:r>
      <w:r w:rsidR="00886677">
        <w:t xml:space="preserve"> </w:t>
      </w:r>
      <w:r>
        <w:t>articles 1 par. 3 in fine, 2 in fine, 3 par. 2 et 4 du décret du</w:t>
      </w:r>
      <w:r w:rsidR="00886677">
        <w:t xml:space="preserve"> </w:t>
      </w:r>
      <w:r>
        <w:t>15 juin 1972); y entrent uniquement celles qui concernent l</w:t>
      </w:r>
      <w:r w:rsidR="003848D0">
        <w:t>’</w:t>
      </w:r>
      <w:r>
        <w:t>éducation</w:t>
      </w:r>
      <w:r w:rsidR="00886677">
        <w:t xml:space="preserve"> </w:t>
      </w:r>
      <w:r>
        <w:t>sexuelle intégrée à l</w:t>
      </w:r>
      <w:r w:rsidR="003848D0">
        <w:t>’</w:t>
      </w:r>
      <w:r>
        <w:t>enseignement de disciplines obligatoires.</w:t>
      </w:r>
    </w:p>
    <w:p w:rsidR="003206D8" w:rsidRDefault="003206D8" w:rsidP="00886677">
      <w:pPr>
        <w:pStyle w:val="JuPara"/>
      </w:pPr>
      <w:r>
        <w:t>Le "guide" d</w:t>
      </w:r>
      <w:r w:rsidR="003848D0">
        <w:t>’</w:t>
      </w:r>
      <w:r>
        <w:t>avril 1971, lui, ne cons</w:t>
      </w:r>
      <w:r w:rsidR="00886677">
        <w:t xml:space="preserve">titue pas un acte législatif ou </w:t>
      </w:r>
      <w:r>
        <w:t>réglementaire, mais un document de travail destiné à aider et</w:t>
      </w:r>
      <w:r w:rsidR="00886677">
        <w:t xml:space="preserve"> </w:t>
      </w:r>
      <w:r>
        <w:t>conseiller les autorités scolaires locales; si le décret (article 2)</w:t>
      </w:r>
      <w:r w:rsidR="00886677">
        <w:t xml:space="preserve"> </w:t>
      </w:r>
      <w:r>
        <w:t>et la circulaire du 8 juin 1971 le mentionnaient, il n</w:t>
      </w:r>
      <w:r w:rsidR="003848D0">
        <w:t>’</w:t>
      </w:r>
      <w:r>
        <w:t>en va plus de</w:t>
      </w:r>
      <w:r w:rsidR="00886677">
        <w:t xml:space="preserve"> </w:t>
      </w:r>
      <w:r>
        <w:t>même de ceux du 15 juin 1972 (paragraphes 24-25 et 31-32 ci-dessus).</w:t>
      </w:r>
      <w:r w:rsidR="00886677">
        <w:t xml:space="preserve"> </w:t>
      </w:r>
      <w:r>
        <w:t>Il demeure néanmoins en usage dans l</w:t>
      </w:r>
      <w:r w:rsidR="003848D0">
        <w:t>’</w:t>
      </w:r>
      <w:r>
        <w:t>ensemble du pays et les</w:t>
      </w:r>
      <w:r w:rsidR="00886677">
        <w:t xml:space="preserve"> </w:t>
      </w:r>
      <w:r>
        <w:t>comparants l</w:t>
      </w:r>
      <w:r w:rsidR="003848D0">
        <w:t>’</w:t>
      </w:r>
      <w:r>
        <w:t>ont fréquemment cité.</w:t>
      </w:r>
      <w:r w:rsidR="003848D0">
        <w:t xml:space="preserve"> </w:t>
      </w:r>
      <w:r>
        <w:t>Aussi la Cour y aura-t-elle égard</w:t>
      </w:r>
      <w:r w:rsidR="00886677">
        <w:t xml:space="preserve"> </w:t>
      </w:r>
      <w:r>
        <w:t>en tant qu</w:t>
      </w:r>
      <w:r w:rsidR="003848D0">
        <w:t>’</w:t>
      </w:r>
      <w:r>
        <w:t>il contribue à révéler l</w:t>
      </w:r>
      <w:r w:rsidR="003848D0">
        <w:t>’</w:t>
      </w:r>
      <w:r>
        <w:t>esprit de la législation</w:t>
      </w:r>
      <w:r w:rsidR="00886677">
        <w:t xml:space="preserve"> </w:t>
      </w:r>
      <w:r>
        <w:t>incriminée.</w:t>
      </w:r>
    </w:p>
    <w:p w:rsidR="003206D8" w:rsidRDefault="003206D8" w:rsidP="00886677">
      <w:pPr>
        <w:pStyle w:val="JuPara"/>
      </w:pPr>
      <w:r>
        <w:t>Quant à la loi n</w:t>
      </w:r>
      <w:r w:rsidR="003848D0" w:rsidRPr="003848D0">
        <w:rPr>
          <w:vertAlign w:val="superscript"/>
        </w:rPr>
        <w:t>o</w:t>
      </w:r>
      <w:r>
        <w:t xml:space="preserve"> 313 du 26 juin 1975</w:t>
      </w:r>
      <w:r w:rsidR="00886677">
        <w:t xml:space="preserve">, entrée entièrement en vigueur </w:t>
      </w:r>
      <w:r>
        <w:t>le 1er août 1976, elle n</w:t>
      </w:r>
      <w:r w:rsidR="003848D0">
        <w:t>’</w:t>
      </w:r>
      <w:r>
        <w:t>appelle pas un examen séparé puisqu</w:t>
      </w:r>
      <w:r w:rsidR="003848D0">
        <w:t>’</w:t>
      </w:r>
      <w:r>
        <w:t>elle</w:t>
      </w:r>
      <w:r w:rsidR="00886677">
        <w:t xml:space="preserve"> </w:t>
      </w:r>
      <w:r>
        <w:t>n</w:t>
      </w:r>
      <w:r w:rsidR="003848D0">
        <w:t>’</w:t>
      </w:r>
      <w:r>
        <w:t>amende aucune des dispositions pertinentes en l</w:t>
      </w:r>
      <w:r w:rsidR="003848D0">
        <w:t>’</w:t>
      </w:r>
      <w:r>
        <w:t>espèce</w:t>
      </w:r>
      <w:r w:rsidR="00886677">
        <w:t xml:space="preserve"> </w:t>
      </w:r>
      <w:r>
        <w:t>(paragraphe 33 ci-dessus).</w:t>
      </w:r>
    </w:p>
    <w:p w:rsidR="003206D8" w:rsidRDefault="003206D8" w:rsidP="00886677">
      <w:pPr>
        <w:pStyle w:val="JuHIRoman"/>
      </w:pPr>
      <w:r>
        <w:t>I. SUR LA VIOLATION ALLEGUEE D</w:t>
      </w:r>
      <w:r w:rsidR="00886677">
        <w:t>E L</w:t>
      </w:r>
      <w:r w:rsidR="003848D0">
        <w:t>’</w:t>
      </w:r>
      <w:r w:rsidR="00886677">
        <w:t>ARTICLE 2 DU PROTOCOLE N</w:t>
      </w:r>
      <w:r w:rsidR="003848D0" w:rsidRPr="003848D0">
        <w:rPr>
          <w:vertAlign w:val="superscript"/>
        </w:rPr>
        <w:t>o</w:t>
      </w:r>
      <w:r w:rsidR="00886677">
        <w:t xml:space="preserve"> 1 </w:t>
      </w:r>
      <w:r>
        <w:t>(P1-2)</w:t>
      </w:r>
    </w:p>
    <w:p w:rsidR="003206D8" w:rsidRDefault="003206D8" w:rsidP="00886677">
      <w:pPr>
        <w:pStyle w:val="JuPara"/>
      </w:pPr>
      <w:r>
        <w:t>49.</w:t>
      </w:r>
      <w:r w:rsidR="003848D0">
        <w:t xml:space="preserve"> </w:t>
      </w:r>
      <w:r>
        <w:t>Les requérants invoquent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(P1-2),</w:t>
      </w:r>
      <w:r w:rsidR="00886677">
        <w:t xml:space="preserve"> </w:t>
      </w:r>
      <w:r>
        <w:t>aux termes duquel</w:t>
      </w:r>
    </w:p>
    <w:p w:rsidR="003206D8" w:rsidRDefault="003206D8" w:rsidP="00886677">
      <w:pPr>
        <w:pStyle w:val="JuQuot"/>
      </w:pPr>
      <w:r>
        <w:t>"Nul ne peut se voir refuser le droit à l</w:t>
      </w:r>
      <w:r w:rsidR="003848D0">
        <w:t>’</w:t>
      </w:r>
      <w:r>
        <w:t>instruct</w:t>
      </w:r>
      <w:r w:rsidR="00886677">
        <w:t>ion.</w:t>
      </w:r>
      <w:r w:rsidR="003848D0">
        <w:t xml:space="preserve"> </w:t>
      </w:r>
      <w:r w:rsidR="00886677">
        <w:t>L</w:t>
      </w:r>
      <w:r w:rsidR="003848D0">
        <w:t>’</w:t>
      </w:r>
      <w:r w:rsidR="00886677">
        <w:t xml:space="preserve">État, dans </w:t>
      </w:r>
      <w:r>
        <w:t>l</w:t>
      </w:r>
      <w:r w:rsidR="003848D0">
        <w:t>’</w:t>
      </w:r>
      <w:r>
        <w:t>exercice des fonctions qu</w:t>
      </w:r>
      <w:r w:rsidR="003848D0">
        <w:t>’</w:t>
      </w:r>
      <w:r>
        <w:t>il assumera dans le domaine de l</w:t>
      </w:r>
      <w:r w:rsidR="003848D0">
        <w:t>’</w:t>
      </w:r>
      <w:r>
        <w:t>éducation</w:t>
      </w:r>
      <w:r w:rsidR="00886677">
        <w:t xml:space="preserve"> </w:t>
      </w:r>
      <w:r>
        <w:t>et de l</w:t>
      </w:r>
      <w:r w:rsidR="003848D0">
        <w:t>’</w:t>
      </w:r>
      <w:r>
        <w:t>enseignement, respectera le droit des parents d</w:t>
      </w:r>
      <w:r w:rsidR="003848D0">
        <w:t>’</w:t>
      </w:r>
      <w:r>
        <w:t>assurer cette</w:t>
      </w:r>
      <w:r w:rsidR="00886677">
        <w:t xml:space="preserve"> </w:t>
      </w:r>
      <w:r>
        <w:t>éducation et cet enseignement conformément à leurs convictions</w:t>
      </w:r>
      <w:r w:rsidR="00886677">
        <w:t xml:space="preserve"> </w:t>
      </w:r>
      <w:r>
        <w:t>religieuses et philosophiques."</w:t>
      </w:r>
    </w:p>
    <w:p w:rsidR="003206D8" w:rsidRDefault="003206D8" w:rsidP="003708A1">
      <w:pPr>
        <w:pStyle w:val="JuPara"/>
      </w:pPr>
      <w:r>
        <w:t>50.</w:t>
      </w:r>
      <w:r w:rsidR="003848D0">
        <w:t xml:space="preserve"> </w:t>
      </w:r>
      <w:r>
        <w:t>Devant la Commission, le Gouv</w:t>
      </w:r>
      <w:r w:rsidR="003708A1">
        <w:t xml:space="preserve">ernement avait soutenu en ordre </w:t>
      </w:r>
      <w:r>
        <w:t>principal que la seconde phrase de l</w:t>
      </w:r>
      <w:r w:rsidR="003848D0">
        <w:t>’</w:t>
      </w:r>
      <w:r>
        <w:t>article 2 (P1-2) ne vise pas les</w:t>
      </w:r>
      <w:r w:rsidR="003708A1">
        <w:t xml:space="preserve"> </w:t>
      </w:r>
      <w:r>
        <w:t>écoles publiques (paragraphes 104-107 du rapport et mémoire du</w:t>
      </w:r>
      <w:r w:rsidR="003708A1">
        <w:t xml:space="preserve"> </w:t>
      </w:r>
      <w:r>
        <w:t>29 novembre 1973), mais sa thèse a quelque peu évolué depuis lors.</w:t>
      </w:r>
      <w:r w:rsidR="003708A1">
        <w:t xml:space="preserve"> </w:t>
      </w:r>
      <w:r>
        <w:t>Dans son mémoire du 8 mars 1976 et à l</w:t>
      </w:r>
      <w:r w:rsidR="003848D0">
        <w:t>’</w:t>
      </w:r>
      <w:r>
        <w:t>occasion des audiences des 1</w:t>
      </w:r>
      <w:r w:rsidRPr="003708A1">
        <w:rPr>
          <w:vertAlign w:val="superscript"/>
        </w:rPr>
        <w:t>er</w:t>
      </w:r>
      <w:r w:rsidR="003708A1">
        <w:t xml:space="preserve"> </w:t>
      </w:r>
      <w:r>
        <w:t>et 2 juin 1976, il a concédé que la présence d</w:t>
      </w:r>
      <w:r w:rsidR="003848D0">
        <w:t>’</w:t>
      </w:r>
      <w:r>
        <w:t>écoles privées</w:t>
      </w:r>
      <w:r w:rsidR="003708A1">
        <w:t xml:space="preserve"> </w:t>
      </w:r>
      <w:r>
        <w:t>n</w:t>
      </w:r>
      <w:r w:rsidR="003848D0">
        <w:t>’</w:t>
      </w:r>
      <w:r>
        <w:t>implique peut-être pas nécessairement dans tous les cas l</w:t>
      </w:r>
      <w:r w:rsidR="003848D0">
        <w:t>’</w:t>
      </w:r>
      <w:r>
        <w:t>absence de</w:t>
      </w:r>
      <w:r w:rsidR="003708A1">
        <w:t xml:space="preserve"> </w:t>
      </w:r>
      <w:r>
        <w:t>violation de ladite phrase.</w:t>
      </w:r>
      <w:r w:rsidR="003848D0">
        <w:t xml:space="preserve"> </w:t>
      </w:r>
      <w:r>
        <w:t>Il a néanmoins souligné que le Danemark</w:t>
      </w:r>
      <w:r w:rsidR="003708A1">
        <w:t xml:space="preserve"> </w:t>
      </w:r>
      <w:r>
        <w:t>n</w:t>
      </w:r>
      <w:r w:rsidR="003848D0">
        <w:t>’</w:t>
      </w:r>
      <w:r>
        <w:t>astreint pas les parents à confier leurs enfants aux écoles</w:t>
      </w:r>
      <w:r w:rsidR="003708A1">
        <w:t xml:space="preserve"> </w:t>
      </w:r>
      <w:r>
        <w:t>publiques: il les laisse libres de les instruire ou faire instruire à</w:t>
      </w:r>
      <w:r w:rsidR="003708A1">
        <w:t xml:space="preserve"> </w:t>
      </w:r>
      <w:r>
        <w:t>domicile et, surtout, de les envoyer dans des établissement privés</w:t>
      </w:r>
      <w:r w:rsidR="003708A1">
        <w:t xml:space="preserve"> </w:t>
      </w:r>
      <w:r>
        <w:t>auxquels l</w:t>
      </w:r>
      <w:r w:rsidR="003848D0">
        <w:t>’</w:t>
      </w:r>
      <w:r w:rsidR="003708A1">
        <w:t>État</w:t>
      </w:r>
      <w:r>
        <w:t xml:space="preserve"> verse de très forts subsides, assumant</w:t>
      </w:r>
      <w:r w:rsidR="003708A1">
        <w:t xml:space="preserve"> ainsi une </w:t>
      </w:r>
      <w:r>
        <w:t>"fonction dans le domaine de l</w:t>
      </w:r>
      <w:r w:rsidR="003848D0">
        <w:t>’</w:t>
      </w:r>
      <w:r>
        <w:t>éducation et de l</w:t>
      </w:r>
      <w:r w:rsidR="003848D0">
        <w:t>’</w:t>
      </w:r>
      <w:r>
        <w:t>enseignement", au</w:t>
      </w:r>
      <w:r w:rsidR="003708A1">
        <w:t xml:space="preserve"> </w:t>
      </w:r>
      <w:r>
        <w:t>sens de l</w:t>
      </w:r>
      <w:r w:rsidR="003848D0">
        <w:t>’</w:t>
      </w:r>
      <w:r>
        <w:t>article 2 (P1-2).</w:t>
      </w:r>
      <w:r w:rsidR="003848D0">
        <w:t xml:space="preserve"> </w:t>
      </w:r>
      <w:r>
        <w:t>Le Danemark s</w:t>
      </w:r>
      <w:r w:rsidR="003848D0">
        <w:t>’</w:t>
      </w:r>
      <w:r>
        <w:t>acquitterait de la sorte des</w:t>
      </w:r>
      <w:r w:rsidR="003708A1">
        <w:t xml:space="preserve"> </w:t>
      </w:r>
      <w:r>
        <w:t>obligations découlant de la seconde phrase de ce texte.</w:t>
      </w:r>
    </w:p>
    <w:p w:rsidR="003206D8" w:rsidRDefault="003206D8" w:rsidP="003708A1">
      <w:pPr>
        <w:pStyle w:val="JuPara"/>
      </w:pPr>
      <w:r>
        <w:t>La Cour constate qu</w:t>
      </w:r>
      <w:r w:rsidR="003848D0">
        <w:t>’</w:t>
      </w:r>
      <w:r>
        <w:t>au Danemark les écoles privée</w:t>
      </w:r>
      <w:r w:rsidR="003708A1">
        <w:t xml:space="preserve">s coexistent avec un </w:t>
      </w:r>
      <w:r>
        <w:t>système d</w:t>
      </w:r>
      <w:r w:rsidR="003848D0">
        <w:t>’</w:t>
      </w:r>
      <w:r>
        <w:t>enseignement public.</w:t>
      </w:r>
      <w:r w:rsidR="003848D0">
        <w:t xml:space="preserve"> </w:t>
      </w:r>
      <w:r>
        <w:t>Or la seconde phrase de l</w:t>
      </w:r>
      <w:r w:rsidR="003848D0">
        <w:t>’</w:t>
      </w:r>
      <w:r>
        <w:t>article 2</w:t>
      </w:r>
      <w:r w:rsidR="003708A1">
        <w:t xml:space="preserve"> </w:t>
      </w:r>
      <w:r>
        <w:t>(P1-2) s</w:t>
      </w:r>
      <w:r w:rsidR="003848D0">
        <w:t>’</w:t>
      </w:r>
      <w:r>
        <w:t xml:space="preserve">impose aux </w:t>
      </w:r>
      <w:r w:rsidR="003708A1">
        <w:t>États</w:t>
      </w:r>
      <w:r>
        <w:t xml:space="preserve"> contractants dans l</w:t>
      </w:r>
      <w:r w:rsidR="003848D0">
        <w:t>’</w:t>
      </w:r>
      <w:r>
        <w:t>exercice de l</w:t>
      </w:r>
      <w:r w:rsidR="003848D0">
        <w:t>’</w:t>
      </w:r>
      <w:r>
        <w:t>ensemble</w:t>
      </w:r>
      <w:r w:rsidR="003708A1">
        <w:t xml:space="preserve"> </w:t>
      </w:r>
      <w:r>
        <w:t>"des fonctions" - en anglais "</w:t>
      </w:r>
      <w:r w:rsidRPr="003708A1">
        <w:rPr>
          <w:lang w:val="en-GB"/>
        </w:rPr>
        <w:t>any</w:t>
      </w:r>
      <w:r>
        <w:t xml:space="preserve"> </w:t>
      </w:r>
      <w:r w:rsidRPr="003708A1">
        <w:rPr>
          <w:lang w:val="en-GB"/>
        </w:rPr>
        <w:t>functions</w:t>
      </w:r>
      <w:r>
        <w:t>" - dont ils se chargent en</w:t>
      </w:r>
      <w:r w:rsidR="003708A1">
        <w:t xml:space="preserve"> </w:t>
      </w:r>
      <w:r>
        <w:t>matière d</w:t>
      </w:r>
      <w:r w:rsidR="003848D0">
        <w:t>’</w:t>
      </w:r>
      <w:r>
        <w:t>éducation et d</w:t>
      </w:r>
      <w:r w:rsidR="003848D0">
        <w:t>’</w:t>
      </w:r>
      <w:r>
        <w:t>enseignement, y compris celle qui consiste à</w:t>
      </w:r>
      <w:r w:rsidR="003708A1">
        <w:t xml:space="preserve"> </w:t>
      </w:r>
      <w:r>
        <w:t>organiser et financer un enseignement public.</w:t>
      </w:r>
    </w:p>
    <w:p w:rsidR="003206D8" w:rsidRDefault="003206D8" w:rsidP="002675CA">
      <w:pPr>
        <w:pStyle w:val="JuPara"/>
      </w:pPr>
      <w:r>
        <w:t>En outre, la seconde phrase de l</w:t>
      </w:r>
      <w:r w:rsidR="003848D0">
        <w:t>’</w:t>
      </w:r>
      <w:r>
        <w:t>a</w:t>
      </w:r>
      <w:r w:rsidR="002675CA">
        <w:t xml:space="preserve">rticle 2 (P1-2) doit se lire en </w:t>
      </w:r>
      <w:r>
        <w:t>combinaison avec la première qui consacre le droit de chacun à</w:t>
      </w:r>
      <w:r w:rsidR="002675CA">
        <w:t xml:space="preserve"> </w:t>
      </w:r>
      <w:r>
        <w:t>l</w:t>
      </w:r>
      <w:r w:rsidR="003848D0">
        <w:t>’</w:t>
      </w:r>
      <w:r>
        <w:t>instruction.</w:t>
      </w:r>
      <w:r w:rsidR="003848D0">
        <w:t xml:space="preserve"> </w:t>
      </w:r>
      <w:r>
        <w:t>C</w:t>
      </w:r>
      <w:r w:rsidR="003848D0">
        <w:t>’</w:t>
      </w:r>
      <w:r>
        <w:t>est sur ce droit fondamental que se greffe le droit</w:t>
      </w:r>
      <w:r w:rsidR="002675CA">
        <w:t xml:space="preserve"> </w:t>
      </w:r>
      <w:r>
        <w:t>des parents au respect de leurs convictions religieuses et</w:t>
      </w:r>
      <w:r w:rsidR="002675CA">
        <w:t xml:space="preserve"> </w:t>
      </w:r>
      <w:r>
        <w:t>philosophiques, la première phrase ne distingue pas plus que la</w:t>
      </w:r>
      <w:r w:rsidR="002675CA">
        <w:t xml:space="preserve"> </w:t>
      </w:r>
      <w:r>
        <w:t>seconde entre l</w:t>
      </w:r>
      <w:r w:rsidR="003848D0">
        <w:t>’</w:t>
      </w:r>
      <w:r>
        <w:t>enseignement public et l</w:t>
      </w:r>
      <w:r w:rsidR="003848D0">
        <w:t>’</w:t>
      </w:r>
      <w:r>
        <w:t>enseignement privé.</w:t>
      </w:r>
    </w:p>
    <w:p w:rsidR="003206D8" w:rsidRDefault="003206D8" w:rsidP="002675CA">
      <w:pPr>
        <w:pStyle w:val="JuPara"/>
      </w:pPr>
      <w:r>
        <w:t xml:space="preserve">Les travaux préparatoires, qui revêtent </w:t>
      </w:r>
      <w:r w:rsidR="002675CA">
        <w:t xml:space="preserve">sans doute une importance </w:t>
      </w:r>
      <w:r>
        <w:t>particulière pour une clause ayant donné lieu à de si longues et</w:t>
      </w:r>
      <w:r w:rsidR="002675CA">
        <w:t xml:space="preserve"> </w:t>
      </w:r>
      <w:r>
        <w:t>ardentes discussions, confirment l</w:t>
      </w:r>
      <w:r w:rsidR="003848D0">
        <w:t>’</w:t>
      </w:r>
      <w:r>
        <w:t>interprétation qui se dégage de</w:t>
      </w:r>
      <w:r w:rsidR="002675CA">
        <w:t xml:space="preserve"> </w:t>
      </w:r>
      <w:r>
        <w:t>prime abord du libellé de l</w:t>
      </w:r>
      <w:r w:rsidR="003848D0">
        <w:t>’</w:t>
      </w:r>
      <w:r>
        <w:t>article 2 (P1-2).</w:t>
      </w:r>
      <w:r w:rsidR="003848D0">
        <w:t xml:space="preserve"> </w:t>
      </w:r>
      <w:r>
        <w:t>S</w:t>
      </w:r>
      <w:r w:rsidR="003848D0">
        <w:t>’</w:t>
      </w:r>
      <w:r>
        <w:t>ils montrent sans conteste,</w:t>
      </w:r>
      <w:r w:rsidR="002675CA">
        <w:t xml:space="preserve"> </w:t>
      </w:r>
      <w:r>
        <w:t>ainsi que l</w:t>
      </w:r>
      <w:r w:rsidR="003848D0">
        <w:t>’</w:t>
      </w:r>
      <w:r>
        <w:t>a rappelé le Gouvernement, le prix que beaucoup de membres</w:t>
      </w:r>
      <w:r w:rsidR="002675CA">
        <w:t xml:space="preserve"> </w:t>
      </w:r>
      <w:r>
        <w:t>de l</w:t>
      </w:r>
      <w:r w:rsidR="003848D0">
        <w:t>’</w:t>
      </w:r>
      <w:r>
        <w:t>Assemblée Consultative et nombre de gouvernements attachaient à</w:t>
      </w:r>
      <w:r w:rsidR="002675CA">
        <w:t xml:space="preserve"> </w:t>
      </w:r>
      <w:r>
        <w:t>la liberté d</w:t>
      </w:r>
      <w:r w:rsidR="003848D0">
        <w:t>’</w:t>
      </w:r>
      <w:r>
        <w:t>enseignement, c</w:t>
      </w:r>
      <w:r w:rsidR="003848D0">
        <w:t>’</w:t>
      </w:r>
      <w:r>
        <w:t>est-à-dire la liberté de créer des écoles</w:t>
      </w:r>
      <w:r w:rsidR="002675CA">
        <w:t xml:space="preserve"> </w:t>
      </w:r>
      <w:r>
        <w:t>privées, ils ne révèlent pas pour autant l</w:t>
      </w:r>
      <w:r w:rsidR="003848D0">
        <w:t>’</w:t>
      </w:r>
      <w:r>
        <w:t>intention de se contenter</w:t>
      </w:r>
      <w:r w:rsidR="002675CA">
        <w:t xml:space="preserve"> </w:t>
      </w:r>
      <w:r>
        <w:t>de garantir celle-ci.</w:t>
      </w:r>
      <w:r w:rsidR="003848D0">
        <w:t xml:space="preserve"> </w:t>
      </w:r>
      <w:r>
        <w:t>A la différence de certaines versions</w:t>
      </w:r>
      <w:r w:rsidR="002675CA">
        <w:t xml:space="preserve"> </w:t>
      </w:r>
      <w:r>
        <w:t>antérieures, le texte finalement adopté ne la proclame pas en termes</w:t>
      </w:r>
      <w:r w:rsidR="002675CA">
        <w:t xml:space="preserve"> </w:t>
      </w:r>
      <w:r>
        <w:t>exprès et il ressort de maintes interventions et propositions, citées</w:t>
      </w:r>
      <w:r w:rsidR="002675CA">
        <w:t xml:space="preserve"> </w:t>
      </w:r>
      <w:r>
        <w:t>par les délégués de la Commission, que l</w:t>
      </w:r>
      <w:r w:rsidR="003848D0">
        <w:t>’</w:t>
      </w:r>
      <w:r>
        <w:t>on n</w:t>
      </w:r>
      <w:r w:rsidR="003848D0">
        <w:t>’</w:t>
      </w:r>
      <w:r>
        <w:t>a pas perdu de vue la</w:t>
      </w:r>
      <w:r w:rsidR="002675CA">
        <w:t xml:space="preserve"> </w:t>
      </w:r>
      <w:r>
        <w:t>nécessité d</w:t>
      </w:r>
      <w:r w:rsidR="003848D0">
        <w:t>’</w:t>
      </w:r>
      <w:r>
        <w:t>assurer dans l</w:t>
      </w:r>
      <w:r w:rsidR="003848D0">
        <w:t>’</w:t>
      </w:r>
      <w:r>
        <w:t>enseignement public le respect des</w:t>
      </w:r>
      <w:r w:rsidR="002675CA">
        <w:t xml:space="preserve"> </w:t>
      </w:r>
      <w:r>
        <w:t>convictions religieuses et philosophiques des parents.</w:t>
      </w:r>
    </w:p>
    <w:p w:rsidR="003206D8" w:rsidRDefault="003206D8" w:rsidP="002675CA">
      <w:pPr>
        <w:pStyle w:val="JuPara"/>
      </w:pPr>
      <w:r>
        <w:t>La seconde phrase de l</w:t>
      </w:r>
      <w:r w:rsidR="003848D0">
        <w:t>’</w:t>
      </w:r>
      <w:r>
        <w:t>article 2 (P1-2)</w:t>
      </w:r>
      <w:r w:rsidR="002675CA">
        <w:t xml:space="preserve"> vise en somme à sauvegarder la </w:t>
      </w:r>
      <w:r>
        <w:t>possibilité d</w:t>
      </w:r>
      <w:r w:rsidR="003848D0">
        <w:t>’</w:t>
      </w:r>
      <w:r>
        <w:t>un pluralisme éducatif, essentielle à la préservation de</w:t>
      </w:r>
      <w:r w:rsidR="002675CA">
        <w:t xml:space="preserve"> </w:t>
      </w:r>
      <w:r>
        <w:t>la "société démocratique" telle que la conçoit la Convention.</w:t>
      </w:r>
      <w:r w:rsidR="003848D0">
        <w:t xml:space="preserve"> </w:t>
      </w:r>
      <w:r>
        <w:t>En</w:t>
      </w:r>
      <w:r w:rsidR="002675CA">
        <w:t xml:space="preserve"> </w:t>
      </w:r>
      <w:r>
        <w:t>raison du poids de l</w:t>
      </w:r>
      <w:r w:rsidR="003848D0">
        <w:t>’</w:t>
      </w:r>
      <w:r w:rsidR="002675CA">
        <w:t>État</w:t>
      </w:r>
      <w:r>
        <w:t xml:space="preserve"> moderne, c</w:t>
      </w:r>
      <w:r w:rsidR="003848D0">
        <w:t>’</w:t>
      </w:r>
      <w:r>
        <w:t>est surtout par l</w:t>
      </w:r>
      <w:r w:rsidR="003848D0">
        <w:t>’</w:t>
      </w:r>
      <w:r>
        <w:t>enseignement</w:t>
      </w:r>
      <w:r w:rsidR="002675CA">
        <w:t xml:space="preserve"> </w:t>
      </w:r>
      <w:r>
        <w:t>public que doit se réaliser ce dessein.</w:t>
      </w:r>
    </w:p>
    <w:p w:rsidR="003206D8" w:rsidRDefault="003206D8" w:rsidP="002675CA">
      <w:pPr>
        <w:pStyle w:val="JuPara"/>
      </w:pPr>
      <w:r>
        <w:t>La Cour arrive donc, avec la Commission unanime, à la conclusi</w:t>
      </w:r>
      <w:r w:rsidR="002675CA">
        <w:t xml:space="preserve">on que </w:t>
      </w:r>
      <w:r>
        <w:t>les écoles publiques danoises n</w:t>
      </w:r>
      <w:r w:rsidR="003848D0">
        <w:t>’</w:t>
      </w:r>
      <w:r>
        <w:t>échappent pas à l</w:t>
      </w:r>
      <w:r w:rsidR="003848D0">
        <w:t>’</w:t>
      </w:r>
      <w:r>
        <w:t>empire du</w:t>
      </w:r>
      <w:r w:rsidR="002675CA">
        <w:t xml:space="preserve"> </w:t>
      </w:r>
      <w:r>
        <w:t>Protocole n</w:t>
      </w:r>
      <w:r w:rsidR="003848D0" w:rsidRPr="003848D0">
        <w:rPr>
          <w:vertAlign w:val="superscript"/>
        </w:rPr>
        <w:t>o</w:t>
      </w:r>
      <w:r>
        <w:t xml:space="preserve"> 1 (P1).</w:t>
      </w:r>
      <w:r w:rsidR="003848D0">
        <w:t xml:space="preserve"> </w:t>
      </w:r>
      <w:r>
        <w:t>En recherchant s</w:t>
      </w:r>
      <w:r w:rsidR="003848D0">
        <w:t>’</w:t>
      </w:r>
      <w:r>
        <w:t>il y a eu violation de</w:t>
      </w:r>
      <w:r w:rsidR="002675CA">
        <w:t xml:space="preserve"> </w:t>
      </w:r>
      <w:r>
        <w:t>l</w:t>
      </w:r>
      <w:r w:rsidR="003848D0">
        <w:t>’</w:t>
      </w:r>
      <w:r>
        <w:t>article 2 (P1-2), elle ne saurait cependant oublier que parmi les</w:t>
      </w:r>
      <w:r w:rsidR="002675CA">
        <w:t xml:space="preserve"> </w:t>
      </w:r>
      <w:r>
        <w:t>fonctions assumées par le Danemark dans le domaine de l</w:t>
      </w:r>
      <w:r w:rsidR="003848D0">
        <w:t>’</w:t>
      </w:r>
      <w:r>
        <w:t>éducation et</w:t>
      </w:r>
      <w:r w:rsidR="002675CA">
        <w:t xml:space="preserve"> </w:t>
      </w:r>
      <w:r>
        <w:t>de l</w:t>
      </w:r>
      <w:r w:rsidR="003848D0">
        <w:t>’</w:t>
      </w:r>
      <w:r>
        <w:t>enseignement figure l</w:t>
      </w:r>
      <w:r w:rsidR="003848D0">
        <w:t>’</w:t>
      </w:r>
      <w:r>
        <w:t>octroi d</w:t>
      </w:r>
      <w:r w:rsidR="003848D0">
        <w:t>’</w:t>
      </w:r>
      <w:r>
        <w:t>une aide substantielle aux écoles</w:t>
      </w:r>
      <w:r w:rsidR="002675CA">
        <w:t xml:space="preserve"> </w:t>
      </w:r>
      <w:r>
        <w:t>privées.</w:t>
      </w:r>
      <w:r w:rsidR="003848D0">
        <w:t xml:space="preserve"> </w:t>
      </w:r>
      <w:r>
        <w:t>Quoique le recours à ces dernières entraîne pour les parents</w:t>
      </w:r>
      <w:r w:rsidR="002675CA">
        <w:t xml:space="preserve"> </w:t>
      </w:r>
      <w:r>
        <w:t>des sacrifices signalés à juste titre par les requérants, la solution</w:t>
      </w:r>
      <w:r w:rsidR="002675CA">
        <w:t xml:space="preserve"> </w:t>
      </w:r>
      <w:r>
        <w:t>de rechange qu</w:t>
      </w:r>
      <w:r w:rsidR="003848D0">
        <w:t>’</w:t>
      </w:r>
      <w:r>
        <w:t>il ménage constitue un élément d</w:t>
      </w:r>
      <w:r w:rsidR="003848D0">
        <w:t>’</w:t>
      </w:r>
      <w:r>
        <w:t>appréciation à ne pas</w:t>
      </w:r>
      <w:r w:rsidR="002675CA">
        <w:t xml:space="preserve"> </w:t>
      </w:r>
      <w:r>
        <w:t>négliger en l</w:t>
      </w:r>
      <w:r w:rsidR="003848D0">
        <w:t>’</w:t>
      </w:r>
      <w:r>
        <w:t>espèce.</w:t>
      </w:r>
      <w:r w:rsidR="003848D0">
        <w:t xml:space="preserve"> </w:t>
      </w:r>
      <w:r>
        <w:t>Le délégué parlant au nom de la majorité de la</w:t>
      </w:r>
      <w:r w:rsidR="002675CA">
        <w:t xml:space="preserve"> </w:t>
      </w:r>
      <w:r>
        <w:t>Commission a reconnu que celle-ci n</w:t>
      </w:r>
      <w:r w:rsidR="003848D0">
        <w:t>’</w:t>
      </w:r>
      <w:r>
        <w:t>en avait pas assez tenu compte aux</w:t>
      </w:r>
      <w:r w:rsidR="002675CA">
        <w:t xml:space="preserve"> </w:t>
      </w:r>
      <w:r>
        <w:t>paragraphes 152 et 153 du rapport.</w:t>
      </w:r>
    </w:p>
    <w:p w:rsidR="003206D8" w:rsidRDefault="003206D8" w:rsidP="002675CA">
      <w:pPr>
        <w:pStyle w:val="JuPara"/>
      </w:pPr>
      <w:r>
        <w:t>51.</w:t>
      </w:r>
      <w:r w:rsidR="003848D0">
        <w:t xml:space="preserve"> </w:t>
      </w:r>
      <w:r>
        <w:t>Le Gouvernement a plaidé à titre subsid</w:t>
      </w:r>
      <w:r w:rsidR="002675CA">
        <w:t xml:space="preserve">iaire que la seconde </w:t>
      </w:r>
      <w:r>
        <w:t>phrase de l</w:t>
      </w:r>
      <w:r w:rsidR="003848D0">
        <w:t>’</w:t>
      </w:r>
      <w:r>
        <w:t>article 2 (P1-2), dans l</w:t>
      </w:r>
      <w:r w:rsidR="003848D0">
        <w:t>’</w:t>
      </w:r>
      <w:r>
        <w:t>hypothèse où elle régirait même les</w:t>
      </w:r>
      <w:r w:rsidR="002675CA">
        <w:t xml:space="preserve"> </w:t>
      </w:r>
      <w:r>
        <w:t>écoles publiques dont la fréquentation n</w:t>
      </w:r>
      <w:r w:rsidR="003848D0">
        <w:t>’</w:t>
      </w:r>
      <w:r>
        <w:t>est pas obligatoire, implique</w:t>
      </w:r>
      <w:r w:rsidR="002675CA">
        <w:t xml:space="preserve"> </w:t>
      </w:r>
      <w:r>
        <w:t>uniquement le droit, pour les parents, de faire exempter leurs enfants</w:t>
      </w:r>
      <w:r w:rsidR="002675CA">
        <w:t xml:space="preserve"> </w:t>
      </w:r>
      <w:r>
        <w:t>des cours où l</w:t>
      </w:r>
      <w:r w:rsidR="003848D0">
        <w:t>’</w:t>
      </w:r>
      <w:r>
        <w:t>on dispense "une instruction religieuse de caractère</w:t>
      </w:r>
      <w:r w:rsidR="002675CA">
        <w:t xml:space="preserve"> </w:t>
      </w:r>
      <w:r>
        <w:t>confessionnel".</w:t>
      </w:r>
    </w:p>
    <w:p w:rsidR="003206D8" w:rsidRDefault="003206D8" w:rsidP="002675CA">
      <w:pPr>
        <w:pStyle w:val="JuPara"/>
      </w:pPr>
      <w:r>
        <w:t>La Cour ne partage pas cette opinion.</w:t>
      </w:r>
      <w:r w:rsidR="003848D0">
        <w:t xml:space="preserve"> </w:t>
      </w:r>
      <w:r>
        <w:t>L</w:t>
      </w:r>
      <w:r w:rsidR="003848D0">
        <w:t>’</w:t>
      </w:r>
      <w:r w:rsidR="002675CA">
        <w:t xml:space="preserve">article 2 (P1-2), qui vaut pour </w:t>
      </w:r>
      <w:r>
        <w:t>chacune des fonctions de l</w:t>
      </w:r>
      <w:r w:rsidR="003848D0">
        <w:t>’</w:t>
      </w:r>
      <w:r w:rsidR="002675CA">
        <w:t>État</w:t>
      </w:r>
      <w:r>
        <w:t xml:space="preserve"> dans le domaine de l</w:t>
      </w:r>
      <w:r w:rsidR="003848D0">
        <w:t>’</w:t>
      </w:r>
      <w:r>
        <w:t>éducation et de</w:t>
      </w:r>
      <w:r w:rsidR="002675CA">
        <w:t xml:space="preserve"> </w:t>
      </w:r>
      <w:r>
        <w:t>l</w:t>
      </w:r>
      <w:r w:rsidR="003848D0">
        <w:t>’</w:t>
      </w:r>
      <w:r>
        <w:t>enseignement, ne permet pas de distinguer entre l</w:t>
      </w:r>
      <w:r w:rsidR="003848D0">
        <w:t>’</w:t>
      </w:r>
      <w:r>
        <w:t>instruction</w:t>
      </w:r>
      <w:r w:rsidR="002675CA">
        <w:t xml:space="preserve"> </w:t>
      </w:r>
      <w:r>
        <w:t>religieuse et les autres disciplines.</w:t>
      </w:r>
      <w:r w:rsidR="003848D0">
        <w:t xml:space="preserve"> </w:t>
      </w:r>
      <w:r>
        <w:t>C</w:t>
      </w:r>
      <w:r w:rsidR="003848D0">
        <w:t>’</w:t>
      </w:r>
      <w:r>
        <w:t>est dans l</w:t>
      </w:r>
      <w:r w:rsidR="003848D0">
        <w:t>’</w:t>
      </w:r>
      <w:r>
        <w:t>ensemble du</w:t>
      </w:r>
      <w:r w:rsidR="002675CA">
        <w:t xml:space="preserve"> </w:t>
      </w:r>
      <w:r>
        <w:t>programme de l</w:t>
      </w:r>
      <w:r w:rsidR="003848D0">
        <w:t>’</w:t>
      </w:r>
      <w:r>
        <w:t>enseignement public qu</w:t>
      </w:r>
      <w:r w:rsidR="003848D0">
        <w:t>’</w:t>
      </w:r>
      <w:r>
        <w:t>il prescrit à l</w:t>
      </w:r>
      <w:r w:rsidR="003848D0">
        <w:t>’</w:t>
      </w:r>
      <w:r w:rsidR="002675CA">
        <w:t>État</w:t>
      </w:r>
      <w:r>
        <w:t xml:space="preserve"> de</w:t>
      </w:r>
      <w:r w:rsidR="002675CA">
        <w:t xml:space="preserve"> </w:t>
      </w:r>
      <w:r>
        <w:t>respecter les convictions, tant religieuses que philosophiques, des</w:t>
      </w:r>
      <w:r w:rsidR="002675CA">
        <w:t xml:space="preserve"> </w:t>
      </w:r>
      <w:r>
        <w:t>parents.</w:t>
      </w:r>
    </w:p>
    <w:p w:rsidR="003206D8" w:rsidRDefault="003206D8" w:rsidP="00ED5C28">
      <w:pPr>
        <w:pStyle w:val="JuPara"/>
      </w:pPr>
      <w:r>
        <w:t>52.</w:t>
      </w:r>
      <w:r w:rsidR="003848D0">
        <w:t xml:space="preserve"> </w:t>
      </w:r>
      <w:r>
        <w:t>Ainsi que l</w:t>
      </w:r>
      <w:r w:rsidR="003848D0">
        <w:t>’</w:t>
      </w:r>
      <w:r>
        <w:t>indique sa structure même,</w:t>
      </w:r>
      <w:r w:rsidR="00F85B8D">
        <w:t xml:space="preserve"> l</w:t>
      </w:r>
      <w:r w:rsidR="003848D0">
        <w:t>’</w:t>
      </w:r>
      <w:r w:rsidR="00F85B8D">
        <w:t xml:space="preserve">article 2 (P1-2) </w:t>
      </w:r>
      <w:r>
        <w:t>forme un tout que domine sa première phrase.</w:t>
      </w:r>
      <w:r w:rsidR="003848D0">
        <w:t xml:space="preserve"> </w:t>
      </w:r>
      <w:r>
        <w:t>En s</w:t>
      </w:r>
      <w:r w:rsidR="003848D0">
        <w:t>’</w:t>
      </w:r>
      <w:r>
        <w:t>interdisant de</w:t>
      </w:r>
      <w:r w:rsidR="00F85B8D">
        <w:t xml:space="preserve"> </w:t>
      </w:r>
      <w:r>
        <w:t>"refuser le droit à l</w:t>
      </w:r>
      <w:r w:rsidR="003848D0">
        <w:t>’</w:t>
      </w:r>
      <w:r>
        <w:t xml:space="preserve">instruction", les </w:t>
      </w:r>
      <w:r w:rsidR="00ED5C28">
        <w:t>États</w:t>
      </w:r>
      <w:r>
        <w:t xml:space="preserve"> contractants</w:t>
      </w:r>
      <w:r w:rsidR="00F85B8D">
        <w:t xml:space="preserve"> </w:t>
      </w:r>
      <w:r>
        <w:t>garantissent à quiconque relève de leur juridiction "un droit d</w:t>
      </w:r>
      <w:r w:rsidR="003848D0">
        <w:t>’</w:t>
      </w:r>
      <w:r>
        <w:t>accès</w:t>
      </w:r>
      <w:r w:rsidR="00F85B8D">
        <w:t xml:space="preserve"> </w:t>
      </w:r>
      <w:r>
        <w:t>aux établissements scolaires existant à un moment donné" et "la</w:t>
      </w:r>
      <w:r w:rsidR="00F85B8D">
        <w:t xml:space="preserve"> </w:t>
      </w:r>
      <w:r>
        <w:t>possibilité de tirer", par "la reconnaissance officielle des études</w:t>
      </w:r>
      <w:r w:rsidR="00F85B8D">
        <w:t xml:space="preserve"> </w:t>
      </w:r>
      <w:r>
        <w:t>accomplies", "un bénéfice de l</w:t>
      </w:r>
      <w:r w:rsidR="003848D0">
        <w:t>’</w:t>
      </w:r>
      <w:r>
        <w:t>enseignement suivi" (arrêt du</w:t>
      </w:r>
      <w:r w:rsidR="00F85B8D">
        <w:t xml:space="preserve"> </w:t>
      </w:r>
      <w:r>
        <w:t>23 juillet 1968 sur le fond de l</w:t>
      </w:r>
      <w:r w:rsidR="003848D0">
        <w:t>’</w:t>
      </w:r>
      <w:r>
        <w:t>affaire "linguistique belge",</w:t>
      </w:r>
      <w:r w:rsidR="00F85B8D">
        <w:t xml:space="preserve"> </w:t>
      </w:r>
      <w:r>
        <w:t>série A n</w:t>
      </w:r>
      <w:r w:rsidR="003848D0" w:rsidRPr="003848D0">
        <w:rPr>
          <w:vertAlign w:val="superscript"/>
        </w:rPr>
        <w:t>o</w:t>
      </w:r>
      <w:r>
        <w:t xml:space="preserve"> 6, pp. 30-32, paras. 3-5).</w:t>
      </w:r>
    </w:p>
    <w:p w:rsidR="003206D8" w:rsidRDefault="003206D8" w:rsidP="004F2540">
      <w:pPr>
        <w:pStyle w:val="JuPara"/>
      </w:pPr>
      <w:r>
        <w:t>Sur ce droit fondamental à l</w:t>
      </w:r>
      <w:r w:rsidR="003848D0">
        <w:t>’</w:t>
      </w:r>
      <w:r>
        <w:t>instructio</w:t>
      </w:r>
      <w:r w:rsidR="004F2540">
        <w:t xml:space="preserve">n se greffe le droit énoncé par </w:t>
      </w:r>
      <w:r>
        <w:t>la seconde phrase de l</w:t>
      </w:r>
      <w:r w:rsidR="003848D0">
        <w:t>’</w:t>
      </w:r>
      <w:r>
        <w:t>article 2 (P1-2) (paragraphe 50 ci-dessus).</w:t>
      </w:r>
      <w:r w:rsidR="004F2540">
        <w:t xml:space="preserve"> </w:t>
      </w:r>
      <w:r>
        <w:t>C</w:t>
      </w:r>
      <w:r w:rsidR="003848D0">
        <w:t>’</w:t>
      </w:r>
      <w:r>
        <w:t>est en s</w:t>
      </w:r>
      <w:r w:rsidR="003848D0">
        <w:t>’</w:t>
      </w:r>
      <w:r>
        <w:t>acquittant d</w:t>
      </w:r>
      <w:r w:rsidR="003848D0">
        <w:t>’</w:t>
      </w:r>
      <w:r>
        <w:t>un devoir naturel envers leurs enfants, dont</w:t>
      </w:r>
      <w:r w:rsidR="004F2540">
        <w:t xml:space="preserve"> </w:t>
      </w:r>
      <w:r>
        <w:t>il leur incombe en priorité d</w:t>
      </w:r>
      <w:r w:rsidR="003848D0">
        <w:t>’</w:t>
      </w:r>
      <w:r>
        <w:t>"assurer (l</w:t>
      </w:r>
      <w:r w:rsidR="003848D0">
        <w:t>’</w:t>
      </w:r>
      <w:r>
        <w:t>) éducation et (l</w:t>
      </w:r>
      <w:r w:rsidR="003848D0">
        <w:t>’</w:t>
      </w:r>
      <w:r>
        <w:t>)</w:t>
      </w:r>
      <w:r w:rsidR="004F2540">
        <w:t xml:space="preserve"> </w:t>
      </w:r>
      <w:r>
        <w:t>enseignement", que les parents peuvent exiger de l</w:t>
      </w:r>
      <w:r w:rsidR="003848D0">
        <w:t>’</w:t>
      </w:r>
      <w:r w:rsidR="00ED5C28">
        <w:t>État</w:t>
      </w:r>
      <w:r>
        <w:t xml:space="preserve"> le respect de</w:t>
      </w:r>
      <w:r w:rsidR="004F2540">
        <w:t xml:space="preserve"> </w:t>
      </w:r>
      <w:r>
        <w:t>leurs convictions religieuses et philosophiques.</w:t>
      </w:r>
      <w:r w:rsidR="003848D0">
        <w:t xml:space="preserve"> </w:t>
      </w:r>
      <w:r>
        <w:t>Leur droit</w:t>
      </w:r>
      <w:r w:rsidR="004F2540">
        <w:t xml:space="preserve"> </w:t>
      </w:r>
      <w:r>
        <w:t>correspond donc à une responsabilité étroitement liée à la jouissance</w:t>
      </w:r>
      <w:r w:rsidR="004F2540">
        <w:t xml:space="preserve"> </w:t>
      </w:r>
      <w:r>
        <w:t>et à l</w:t>
      </w:r>
      <w:r w:rsidR="003848D0">
        <w:t>’</w:t>
      </w:r>
      <w:r>
        <w:t>exercice du droit à l</w:t>
      </w:r>
      <w:r w:rsidR="003848D0">
        <w:t>’</w:t>
      </w:r>
      <w:r>
        <w:t>instruction.</w:t>
      </w:r>
    </w:p>
    <w:p w:rsidR="003206D8" w:rsidRDefault="003206D8" w:rsidP="004F2540">
      <w:pPr>
        <w:pStyle w:val="JuPara"/>
      </w:pPr>
      <w:r>
        <w:t>De leur côté, "les dispositions d</w:t>
      </w:r>
      <w:r w:rsidR="004F2540">
        <w:t xml:space="preserve">e la Convention et du Protocole </w:t>
      </w:r>
      <w:r>
        <w:t>(P1) doivent être envisagées comme un tout" (arrêt précité du</w:t>
      </w:r>
      <w:r w:rsidR="004F2540">
        <w:t xml:space="preserve"> </w:t>
      </w:r>
      <w:r>
        <w:t>23 juillet 1968, ibidem p. 30, par. 1).</w:t>
      </w:r>
      <w:r w:rsidR="003848D0">
        <w:t xml:space="preserve"> </w:t>
      </w:r>
      <w:r>
        <w:t>Dès lors, il faut lire les deux</w:t>
      </w:r>
      <w:r w:rsidR="004F2540">
        <w:t xml:space="preserve"> </w:t>
      </w:r>
      <w:r>
        <w:t>phrases de l</w:t>
      </w:r>
      <w:r w:rsidR="003848D0">
        <w:t>’</w:t>
      </w:r>
      <w:r>
        <w:t>article 2 (P1-2) à la lumière non seulement l</w:t>
      </w:r>
      <w:r w:rsidR="003848D0">
        <w:t>’</w:t>
      </w:r>
      <w:r>
        <w:t>une de</w:t>
      </w:r>
      <w:r w:rsidR="004F2540">
        <w:t xml:space="preserve"> </w:t>
      </w:r>
      <w:r>
        <w:t>l</w:t>
      </w:r>
      <w:r w:rsidR="003848D0">
        <w:t>’</w:t>
      </w:r>
      <w:r>
        <w:t>autre, mais aussi, notamment, des articles 8, 9 et 10 (art. 8,</w:t>
      </w:r>
      <w:r w:rsidR="004F2540">
        <w:t xml:space="preserve"> </w:t>
      </w:r>
      <w:r>
        <w:t>art. 9, art. 10) de la Convention qui proclament le droit de toute</w:t>
      </w:r>
      <w:r w:rsidR="004F2540">
        <w:t xml:space="preserve"> </w:t>
      </w:r>
      <w:r>
        <w:t>personne, y compris les parents et les enfants, "au respect de sa vie</w:t>
      </w:r>
      <w:r w:rsidR="004F2540">
        <w:t xml:space="preserve"> </w:t>
      </w:r>
      <w:r>
        <w:t>privée et familiale", à "la liberté de pensée, de conscience et de</w:t>
      </w:r>
      <w:r w:rsidR="004F2540">
        <w:t xml:space="preserve"> </w:t>
      </w:r>
      <w:r>
        <w:t>religion" et à "la liberté de recevoir ou de communiquer des</w:t>
      </w:r>
      <w:r w:rsidR="004F2540">
        <w:t xml:space="preserve"> </w:t>
      </w:r>
      <w:r>
        <w:t>informations ou des idées".</w:t>
      </w:r>
    </w:p>
    <w:p w:rsidR="003206D8" w:rsidRDefault="003206D8" w:rsidP="004F2540">
      <w:pPr>
        <w:pStyle w:val="JuPara"/>
      </w:pPr>
      <w:r>
        <w:t>53.</w:t>
      </w:r>
      <w:r w:rsidR="003848D0">
        <w:t xml:space="preserve"> </w:t>
      </w:r>
      <w:r>
        <w:t>Du paragraphe précédent, il résul</w:t>
      </w:r>
      <w:r w:rsidR="004F2540">
        <w:t>te d</w:t>
      </w:r>
      <w:r w:rsidR="003848D0">
        <w:t>’</w:t>
      </w:r>
      <w:r w:rsidR="004F2540">
        <w:t xml:space="preserve">abord que la définition et </w:t>
      </w:r>
      <w:r>
        <w:t>l</w:t>
      </w:r>
      <w:r w:rsidR="003848D0">
        <w:t>’</w:t>
      </w:r>
      <w:r>
        <w:t>aménagement du programme des études relèvent en principe de la</w:t>
      </w:r>
      <w:r w:rsidR="004F2540">
        <w:t xml:space="preserve"> </w:t>
      </w:r>
      <w:r>
        <w:t xml:space="preserve">compétence des </w:t>
      </w:r>
      <w:r w:rsidR="00ED5C28">
        <w:t>État</w:t>
      </w:r>
      <w:r>
        <w:t>s contractants.</w:t>
      </w:r>
      <w:r w:rsidR="003848D0">
        <w:t xml:space="preserve"> </w:t>
      </w:r>
      <w:r>
        <w:t>Il s</w:t>
      </w:r>
      <w:r w:rsidR="003848D0">
        <w:t>’</w:t>
      </w:r>
      <w:r>
        <w:t>agit, dans une large mesure,</w:t>
      </w:r>
      <w:r w:rsidR="004F2540">
        <w:t xml:space="preserve"> </w:t>
      </w:r>
      <w:r>
        <w:t>d</w:t>
      </w:r>
      <w:r w:rsidR="003848D0">
        <w:t>’</w:t>
      </w:r>
      <w:r>
        <w:t>un problème d</w:t>
      </w:r>
      <w:r w:rsidR="003848D0">
        <w:t>’</w:t>
      </w:r>
      <w:r>
        <w:t>opportunité sur lequel la Cour n</w:t>
      </w:r>
      <w:r w:rsidR="003848D0">
        <w:t>’</w:t>
      </w:r>
      <w:r>
        <w:t>a pas à se prononcer</w:t>
      </w:r>
      <w:r w:rsidR="004F2540">
        <w:t xml:space="preserve"> </w:t>
      </w:r>
      <w:r>
        <w:t>et dont la solution peut légitimement varier selon les pays et les</w:t>
      </w:r>
      <w:r w:rsidR="004F2540">
        <w:t xml:space="preserve"> </w:t>
      </w:r>
      <w:r>
        <w:t>époques.</w:t>
      </w:r>
      <w:r w:rsidR="003848D0">
        <w:t xml:space="preserve"> </w:t>
      </w:r>
      <w:r>
        <w:t>En particulier, la seconde phrase de l</w:t>
      </w:r>
      <w:r w:rsidR="003848D0">
        <w:t>’</w:t>
      </w:r>
      <w:r>
        <w:t>article 2 du</w:t>
      </w:r>
      <w:r w:rsidR="004F2540">
        <w:t xml:space="preserve"> </w:t>
      </w:r>
      <w:r>
        <w:t>Protocole (P1-2) n</w:t>
      </w:r>
      <w:r w:rsidR="003848D0">
        <w:t>’</w:t>
      </w:r>
      <w:r>
        <w:t xml:space="preserve">empêche pas les </w:t>
      </w:r>
      <w:r w:rsidR="00ED5C28">
        <w:t>État</w:t>
      </w:r>
      <w:r>
        <w:t>s de répandre par l</w:t>
      </w:r>
      <w:r w:rsidR="003848D0">
        <w:t>’</w:t>
      </w:r>
      <w:r>
        <w:t>enseignement ou</w:t>
      </w:r>
      <w:r w:rsidR="004F2540">
        <w:t xml:space="preserve"> </w:t>
      </w:r>
      <w:r>
        <w:t>l</w:t>
      </w:r>
      <w:r w:rsidR="003848D0">
        <w:t>’</w:t>
      </w:r>
      <w:r>
        <w:t>éducation des informations ou connaissances ayant, directement ou</w:t>
      </w:r>
      <w:r w:rsidR="004F2540">
        <w:t xml:space="preserve"> </w:t>
      </w:r>
      <w:r>
        <w:t>non, un caractère religieux ou philosophique.</w:t>
      </w:r>
      <w:r w:rsidR="003848D0">
        <w:t xml:space="preserve"> </w:t>
      </w:r>
      <w:r>
        <w:t>Elle n</w:t>
      </w:r>
      <w:r w:rsidR="003848D0">
        <w:t>’</w:t>
      </w:r>
      <w:r>
        <w:t>autorise pas</w:t>
      </w:r>
      <w:r w:rsidR="004F2540">
        <w:t xml:space="preserve"> </w:t>
      </w:r>
      <w:r>
        <w:t>même les parents à s</w:t>
      </w:r>
      <w:r w:rsidR="003848D0">
        <w:t>’</w:t>
      </w:r>
      <w:r>
        <w:t>opposer à l</w:t>
      </w:r>
      <w:r w:rsidR="003848D0">
        <w:t>’</w:t>
      </w:r>
      <w:r>
        <w:t>intégration de pareil enseignement ou</w:t>
      </w:r>
      <w:r w:rsidR="004F2540">
        <w:t xml:space="preserve"> </w:t>
      </w:r>
      <w:r>
        <w:t>éducation dans le programme scolaire, sans quoi tout enseignement</w:t>
      </w:r>
      <w:r w:rsidR="004F2540">
        <w:t xml:space="preserve"> </w:t>
      </w:r>
      <w:r>
        <w:t>institutionnalisé courrait le risque de se révéler impraticable.</w:t>
      </w:r>
      <w:r w:rsidR="003848D0">
        <w:t xml:space="preserve"> </w:t>
      </w:r>
      <w:r>
        <w:t>Il</w:t>
      </w:r>
      <w:r w:rsidR="004F2540">
        <w:t xml:space="preserve"> </w:t>
      </w:r>
      <w:r>
        <w:t>paraît en effet très difficile que nombre de disciplines enseignées à</w:t>
      </w:r>
      <w:r w:rsidR="004F2540">
        <w:t xml:space="preserve"> </w:t>
      </w:r>
      <w:r>
        <w:t>l</w:t>
      </w:r>
      <w:r w:rsidR="003848D0">
        <w:t>’</w:t>
      </w:r>
      <w:r>
        <w:t>école n</w:t>
      </w:r>
      <w:r w:rsidR="003848D0">
        <w:t>’</w:t>
      </w:r>
      <w:r>
        <w:t>aient pas, de près ou de loin, une coloration ou incidence</w:t>
      </w:r>
      <w:r w:rsidR="004F2540">
        <w:t xml:space="preserve"> </w:t>
      </w:r>
      <w:r>
        <w:t>de caractère philosophique.</w:t>
      </w:r>
      <w:r w:rsidR="003848D0">
        <w:t xml:space="preserve"> </w:t>
      </w:r>
      <w:r>
        <w:t>Il en va de même du caractère religieux</w:t>
      </w:r>
      <w:r w:rsidR="004F2540">
        <w:t xml:space="preserve"> </w:t>
      </w:r>
      <w:r>
        <w:t>si l</w:t>
      </w:r>
      <w:r w:rsidR="003848D0">
        <w:t>’</w:t>
      </w:r>
      <w:r>
        <w:t>on tient compte de l</w:t>
      </w:r>
      <w:r w:rsidR="003848D0">
        <w:t>’</w:t>
      </w:r>
      <w:r>
        <w:t>existence de religions formant un ensemble</w:t>
      </w:r>
      <w:r w:rsidR="004F2540">
        <w:t xml:space="preserve"> </w:t>
      </w:r>
      <w:r>
        <w:t>dogmatique et moral très vaste qui a ou peut avoir des réponses à</w:t>
      </w:r>
      <w:r w:rsidR="004F2540">
        <w:t xml:space="preserve"> </w:t>
      </w:r>
      <w:r>
        <w:t>toute question d</w:t>
      </w:r>
      <w:r w:rsidR="003848D0">
        <w:t>’</w:t>
      </w:r>
      <w:r>
        <w:t>ordre philosophique, cosmologique ou éthique.</w:t>
      </w:r>
    </w:p>
    <w:p w:rsidR="003206D8" w:rsidRDefault="003206D8" w:rsidP="004F2540">
      <w:pPr>
        <w:pStyle w:val="JuPara"/>
      </w:pPr>
      <w:r>
        <w:t>La seconde phrase de l</w:t>
      </w:r>
      <w:r w:rsidR="003848D0">
        <w:t>’</w:t>
      </w:r>
      <w:r>
        <w:t xml:space="preserve">article 2 </w:t>
      </w:r>
      <w:r w:rsidR="004F2540">
        <w:t xml:space="preserve">(P1-2) implique en revanche que </w:t>
      </w:r>
      <w:r>
        <w:t>l</w:t>
      </w:r>
      <w:r w:rsidR="003848D0">
        <w:t>’</w:t>
      </w:r>
      <w:r w:rsidR="00ED5C28">
        <w:t>État</w:t>
      </w:r>
      <w:r>
        <w:t>, en s</w:t>
      </w:r>
      <w:r w:rsidR="003848D0">
        <w:t>’</w:t>
      </w:r>
      <w:r>
        <w:t>acquittant des fonctions assumées par lui en matière</w:t>
      </w:r>
      <w:r w:rsidR="004F2540">
        <w:t xml:space="preserve"> </w:t>
      </w:r>
      <w:r>
        <w:t>d</w:t>
      </w:r>
      <w:r w:rsidR="003848D0">
        <w:t>’</w:t>
      </w:r>
      <w:r>
        <w:t>éducation et d</w:t>
      </w:r>
      <w:r w:rsidR="003848D0">
        <w:t>’</w:t>
      </w:r>
      <w:r>
        <w:t>enseignement, veille à ce que les informations ou</w:t>
      </w:r>
      <w:r w:rsidR="004F2540">
        <w:t xml:space="preserve"> </w:t>
      </w:r>
      <w:r>
        <w:t xml:space="preserve">connaissances figurant au </w:t>
      </w:r>
      <w:r w:rsidR="004F2540">
        <w:t>programme</w:t>
      </w:r>
      <w:r>
        <w:t xml:space="preserve"> soient diffusées de manière</w:t>
      </w:r>
      <w:r w:rsidR="004F2540">
        <w:t xml:space="preserve"> </w:t>
      </w:r>
      <w:r>
        <w:t>objective, critique et pluraliste.</w:t>
      </w:r>
      <w:r w:rsidR="003848D0">
        <w:t xml:space="preserve"> </w:t>
      </w:r>
      <w:r>
        <w:t>Elle lui interdit de poursuivre un</w:t>
      </w:r>
      <w:r w:rsidR="004F2540">
        <w:t xml:space="preserve"> </w:t>
      </w:r>
      <w:r>
        <w:t>but d</w:t>
      </w:r>
      <w:r w:rsidR="003848D0">
        <w:t>’</w:t>
      </w:r>
      <w:r>
        <w:t>endoctrinement qui puisse être considéré comme ne respectant pas</w:t>
      </w:r>
      <w:r w:rsidR="004F2540">
        <w:t xml:space="preserve"> </w:t>
      </w:r>
      <w:r>
        <w:t>les convictions religieuses et philosophiques des parents.</w:t>
      </w:r>
      <w:r w:rsidR="003848D0">
        <w:t xml:space="preserve"> </w:t>
      </w:r>
      <w:r>
        <w:t>Là se</w:t>
      </w:r>
      <w:r w:rsidR="004F2540">
        <w:t xml:space="preserve"> </w:t>
      </w:r>
      <w:r>
        <w:t>place la limite à ne pas dépasser.</w:t>
      </w:r>
    </w:p>
    <w:p w:rsidR="003206D8" w:rsidRDefault="003206D8" w:rsidP="004F2540">
      <w:pPr>
        <w:pStyle w:val="JuPara"/>
      </w:pPr>
      <w:r>
        <w:t xml:space="preserve">Une telle interprétation se concilie à </w:t>
      </w:r>
      <w:r w:rsidR="004F2540">
        <w:t xml:space="preserve">la fois avec la première phrase </w:t>
      </w:r>
      <w:r>
        <w:t>de l</w:t>
      </w:r>
      <w:r w:rsidR="003848D0">
        <w:t>’</w:t>
      </w:r>
      <w:r>
        <w:t>article 2 du Protocole (P1-2), avec les articles 8 à 10</w:t>
      </w:r>
      <w:r w:rsidR="004F2540">
        <w:t xml:space="preserve"> </w:t>
      </w:r>
      <w:r>
        <w:t>(art. 8, art. 9, art. 10) de la Convention et avec l</w:t>
      </w:r>
      <w:r w:rsidR="003848D0">
        <w:t>’</w:t>
      </w:r>
      <w:r>
        <w:t>esprit général de</w:t>
      </w:r>
      <w:r w:rsidR="004F2540">
        <w:t xml:space="preserve"> </w:t>
      </w:r>
      <w:r>
        <w:t>celle-ci, destinée à sauvegarder et promouvoir les idéaux et valeurs</w:t>
      </w:r>
      <w:r w:rsidR="004F2540">
        <w:t xml:space="preserve"> </w:t>
      </w:r>
      <w:r>
        <w:t>d</w:t>
      </w:r>
      <w:r w:rsidR="003848D0">
        <w:t>’</w:t>
      </w:r>
      <w:r>
        <w:t>une société démocratique.</w:t>
      </w:r>
    </w:p>
    <w:p w:rsidR="003206D8" w:rsidRDefault="003206D8" w:rsidP="004F2540">
      <w:pPr>
        <w:pStyle w:val="JuPara"/>
      </w:pPr>
      <w:r>
        <w:t>54.</w:t>
      </w:r>
      <w:r w:rsidR="003848D0">
        <w:t xml:space="preserve"> </w:t>
      </w:r>
      <w:r>
        <w:t>Pour examiner la législa</w:t>
      </w:r>
      <w:r w:rsidR="004F2540">
        <w:t>tion litigieuse sous l</w:t>
      </w:r>
      <w:r w:rsidR="003848D0">
        <w:t>’</w:t>
      </w:r>
      <w:r w:rsidR="004F2540">
        <w:t xml:space="preserve">angle de </w:t>
      </w:r>
      <w:r>
        <w:t>l</w:t>
      </w:r>
      <w:r w:rsidR="003848D0">
        <w:t>’</w:t>
      </w:r>
      <w:r>
        <w:t>article 2 du Protocole (P1-2), ainsi interprété, il faut, tout en</w:t>
      </w:r>
      <w:r w:rsidR="004F2540">
        <w:t xml:space="preserve"> </w:t>
      </w:r>
      <w:r>
        <w:t>évitant d</w:t>
      </w:r>
      <w:r w:rsidR="003848D0">
        <w:t>’</w:t>
      </w:r>
      <w:r>
        <w:t>en apprécier l</w:t>
      </w:r>
      <w:r w:rsidR="003848D0">
        <w:t>’</w:t>
      </w:r>
      <w:r>
        <w:t>opportunité, avoir égard à la situation</w:t>
      </w:r>
      <w:r w:rsidR="004F2540">
        <w:t xml:space="preserve"> </w:t>
      </w:r>
      <w:r>
        <w:t>concrète à laquelle elle a cherché et cherche encore à faire face.</w:t>
      </w:r>
    </w:p>
    <w:p w:rsidR="003206D8" w:rsidRDefault="003206D8" w:rsidP="004F2540">
      <w:pPr>
        <w:pStyle w:val="JuPara"/>
      </w:pPr>
      <w:r>
        <w:t>Le législateur danois, qui n</w:t>
      </w:r>
      <w:r w:rsidR="003848D0">
        <w:t>’</w:t>
      </w:r>
      <w:r>
        <w:t>a pas ma</w:t>
      </w:r>
      <w:r w:rsidR="004F2540">
        <w:t xml:space="preserve">nqué de recueillir au préalable </w:t>
      </w:r>
      <w:r>
        <w:t>l</w:t>
      </w:r>
      <w:r w:rsidR="003848D0">
        <w:t>’</w:t>
      </w:r>
      <w:r>
        <w:t>avis d</w:t>
      </w:r>
      <w:r w:rsidR="003848D0">
        <w:t>’</w:t>
      </w:r>
      <w:r>
        <w:t>experts qualifiés, est manifestement parti de la constatation</w:t>
      </w:r>
      <w:r w:rsidR="004F2540">
        <w:t xml:space="preserve"> </w:t>
      </w:r>
      <w:r>
        <w:t>qu</w:t>
      </w:r>
      <w:r w:rsidR="003848D0">
        <w:t>’</w:t>
      </w:r>
      <w:r>
        <w:t>au Danemark les enfants obtiennent sans peine de nos jours, de</w:t>
      </w:r>
      <w:r w:rsidR="004F2540">
        <w:t xml:space="preserve"> </w:t>
      </w:r>
      <w:r>
        <w:t>plusieurs côtés, les renseignements qui les intéressent au sujet de la</w:t>
      </w:r>
      <w:r w:rsidR="004F2540">
        <w:t xml:space="preserve"> </w:t>
      </w:r>
      <w:r>
        <w:t>vie sexuelle.</w:t>
      </w:r>
      <w:r w:rsidR="003848D0">
        <w:t xml:space="preserve"> </w:t>
      </w:r>
      <w:r>
        <w:t>L</w:t>
      </w:r>
      <w:r w:rsidR="003848D0">
        <w:t>’</w:t>
      </w:r>
      <w:r>
        <w:t>instruction dispensée en la matière dans les écoles</w:t>
      </w:r>
      <w:r w:rsidR="004F2540">
        <w:t xml:space="preserve"> </w:t>
      </w:r>
      <w:r>
        <w:t>publiques a moins pour but de leur inculquer des connaissances qu</w:t>
      </w:r>
      <w:r w:rsidR="003848D0">
        <w:t>’</w:t>
      </w:r>
      <w:r>
        <w:t>ils</w:t>
      </w:r>
      <w:r w:rsidR="004F2540">
        <w:t xml:space="preserve"> </w:t>
      </w:r>
      <w:r>
        <w:t>ne possèdent pas ou ne peuvent se procurer par d</w:t>
      </w:r>
      <w:r w:rsidR="003848D0">
        <w:t>’</w:t>
      </w:r>
      <w:r>
        <w:t>autres moyens que de</w:t>
      </w:r>
      <w:r w:rsidR="004F2540">
        <w:t xml:space="preserve"> </w:t>
      </w:r>
      <w:r>
        <w:t>les leur donner de manière plus exacte, précise, objective et</w:t>
      </w:r>
      <w:r w:rsidR="004F2540">
        <w:t xml:space="preserve"> </w:t>
      </w:r>
      <w:r>
        <w:t>scientifique.</w:t>
      </w:r>
      <w:r w:rsidR="003848D0">
        <w:t xml:space="preserve"> </w:t>
      </w:r>
      <w:r>
        <w:t>Telle que la prévoit et l</w:t>
      </w:r>
      <w:r w:rsidR="003848D0">
        <w:t>’</w:t>
      </w:r>
      <w:r>
        <w:t>organise la législation</w:t>
      </w:r>
      <w:r w:rsidR="004F2540">
        <w:t xml:space="preserve"> </w:t>
      </w:r>
      <w:r>
        <w:t>contestée, elle tend au premier chef à mieux informer les élèves;</w:t>
      </w:r>
      <w:r w:rsidR="004F2540">
        <w:t xml:space="preserve"> </w:t>
      </w:r>
      <w:r>
        <w:t>cela ressort, entre autres, de la préface du "guide" d</w:t>
      </w:r>
      <w:r w:rsidR="003848D0">
        <w:t>’</w:t>
      </w:r>
      <w:r>
        <w:t>avril 1971.</w:t>
      </w:r>
    </w:p>
    <w:p w:rsidR="003206D8" w:rsidRDefault="003206D8" w:rsidP="004F2540">
      <w:pPr>
        <w:pStyle w:val="JuPara"/>
      </w:pPr>
      <w:r>
        <w:t>Même limitée de la sorte, ladite in</w:t>
      </w:r>
      <w:r w:rsidR="004F2540">
        <w:t xml:space="preserve">struction ne saurait évidemment </w:t>
      </w:r>
      <w:r>
        <w:t>exclure de la part des enseignants certaines appréciations pouvant</w:t>
      </w:r>
      <w:r w:rsidR="004F2540">
        <w:t xml:space="preserve"> </w:t>
      </w:r>
      <w:r>
        <w:t>empiéter sur le domaine religieux ou philosophique, car il s</w:t>
      </w:r>
      <w:r w:rsidR="003848D0">
        <w:t>’</w:t>
      </w:r>
      <w:r>
        <w:t>agit</w:t>
      </w:r>
      <w:r w:rsidR="004F2540">
        <w:t xml:space="preserve"> </w:t>
      </w:r>
      <w:r>
        <w:t>d</w:t>
      </w:r>
      <w:r w:rsidR="003848D0">
        <w:t>’</w:t>
      </w:r>
      <w:r>
        <w:t>une matière où les jugements de réalité débouchent aisément sur des</w:t>
      </w:r>
      <w:r w:rsidR="004F2540">
        <w:t xml:space="preserve"> </w:t>
      </w:r>
      <w:r>
        <w:t>jugements de valeur; la minorité de la Commission l</w:t>
      </w:r>
      <w:r w:rsidR="003848D0">
        <w:t>’</w:t>
      </w:r>
      <w:r>
        <w:t>a souligné avec</w:t>
      </w:r>
      <w:r w:rsidR="004F2540">
        <w:t xml:space="preserve"> </w:t>
      </w:r>
      <w:r>
        <w:t>raison.</w:t>
      </w:r>
      <w:r w:rsidR="003848D0">
        <w:t xml:space="preserve"> </w:t>
      </w:r>
      <w:r>
        <w:t>Les décrets et circulaires des 8 juin 1971 et 15 juin 1972,</w:t>
      </w:r>
      <w:r w:rsidR="004F2540">
        <w:t xml:space="preserve"> </w:t>
      </w:r>
      <w:r>
        <w:t>le "guide" d</w:t>
      </w:r>
      <w:r w:rsidR="003848D0">
        <w:t>’</w:t>
      </w:r>
      <w:r>
        <w:t>avril 1971 et les autres éléments dont dispose la Cour</w:t>
      </w:r>
      <w:r w:rsidR="004F2540">
        <w:t xml:space="preserve"> </w:t>
      </w:r>
      <w:r>
        <w:t>(paragraphes 20-32 ci-dessus) indiquent nettement que l</w:t>
      </w:r>
      <w:r w:rsidR="003848D0">
        <w:t>’</w:t>
      </w:r>
      <w:r w:rsidR="00ED5C28">
        <w:t>État</w:t>
      </w:r>
      <w:r>
        <w:t xml:space="preserve"> danois,</w:t>
      </w:r>
      <w:r w:rsidR="004F2540">
        <w:t xml:space="preserve"> </w:t>
      </w:r>
      <w:r>
        <w:t>en fournissant de bonne heure aux enfants des éclaircissements qu</w:t>
      </w:r>
      <w:r w:rsidR="003848D0">
        <w:t>’</w:t>
      </w:r>
      <w:r>
        <w:t>il</w:t>
      </w:r>
      <w:r w:rsidR="004F2540">
        <w:t xml:space="preserve"> </w:t>
      </w:r>
      <w:r>
        <w:t>estime utiles, essaie de les alerter contre des phénomènes inquiétants</w:t>
      </w:r>
      <w:r w:rsidR="004F2540">
        <w:t xml:space="preserve"> </w:t>
      </w:r>
      <w:r>
        <w:t>à ses yeux, par exemple la fréquence excessive des naissances hors</w:t>
      </w:r>
      <w:r w:rsidR="004F2540">
        <w:t xml:space="preserve"> </w:t>
      </w:r>
      <w:r>
        <w:t>mariage, des avortements provoqués et des maladies vénériennes.</w:t>
      </w:r>
      <w:r w:rsidR="004F2540">
        <w:t xml:space="preserve"> </w:t>
      </w:r>
      <w:r>
        <w:t>Les autorités publiques veulent permettre aux élèves, le moment venu,</w:t>
      </w:r>
      <w:r w:rsidR="004F2540">
        <w:t xml:space="preserve"> </w:t>
      </w:r>
      <w:r>
        <w:t>"de s</w:t>
      </w:r>
      <w:r w:rsidR="003848D0">
        <w:t>’</w:t>
      </w:r>
      <w:r>
        <w:t>assumer et de montrer des égards pour autrui dans ce domaine",</w:t>
      </w:r>
      <w:r w:rsidR="004F2540">
        <w:t xml:space="preserve"> </w:t>
      </w:r>
      <w:r>
        <w:t>"de ne pas s</w:t>
      </w:r>
      <w:r w:rsidR="003848D0">
        <w:t>’</w:t>
      </w:r>
      <w:r>
        <w:t>attirer des ennuis ou de ne pas en attirer à d</w:t>
      </w:r>
      <w:r w:rsidR="003848D0">
        <w:t>’</w:t>
      </w:r>
      <w:r>
        <w:t>autres par</w:t>
      </w:r>
      <w:r w:rsidR="004F2540">
        <w:t xml:space="preserve"> </w:t>
      </w:r>
      <w:r>
        <w:t>pure ignorance" (article 1 du décret du 15 juin 1972).</w:t>
      </w:r>
    </w:p>
    <w:p w:rsidR="003206D8" w:rsidRDefault="003206D8" w:rsidP="00D56FC4">
      <w:pPr>
        <w:pStyle w:val="JuPara"/>
      </w:pPr>
      <w:r>
        <w:t>Ce sont bien là des considérations d</w:t>
      </w:r>
      <w:r w:rsidR="003848D0">
        <w:t>’</w:t>
      </w:r>
      <w:r>
        <w:t>o</w:t>
      </w:r>
      <w:r w:rsidR="00D56FC4">
        <w:t xml:space="preserve">rdre moral, mais elles revêtent </w:t>
      </w:r>
      <w:r>
        <w:t>un caractère très général et n</w:t>
      </w:r>
      <w:r w:rsidR="003848D0">
        <w:t>’</w:t>
      </w:r>
      <w:r>
        <w:t>entraînent pas un dépassement des</w:t>
      </w:r>
      <w:r w:rsidR="00D56FC4">
        <w:t xml:space="preserve"> </w:t>
      </w:r>
      <w:r>
        <w:t>bornes de ce qu</w:t>
      </w:r>
      <w:r w:rsidR="003848D0">
        <w:t>’</w:t>
      </w:r>
      <w:r>
        <w:t xml:space="preserve">un </w:t>
      </w:r>
      <w:r w:rsidR="00ED5C28">
        <w:t>État</w:t>
      </w:r>
      <w:r>
        <w:t xml:space="preserve"> démocratique peut concevoir comme l</w:t>
      </w:r>
      <w:r w:rsidR="003848D0">
        <w:t>’</w:t>
      </w:r>
      <w:r>
        <w:t>intérêt</w:t>
      </w:r>
      <w:r w:rsidR="00D56FC4">
        <w:t xml:space="preserve"> </w:t>
      </w:r>
      <w:r>
        <w:t>public.</w:t>
      </w:r>
      <w:r w:rsidR="003848D0">
        <w:t xml:space="preserve"> </w:t>
      </w:r>
      <w:r>
        <w:t>L</w:t>
      </w:r>
      <w:r w:rsidR="003848D0">
        <w:t>’</w:t>
      </w:r>
      <w:r>
        <w:t>examen de la législation incriminée prouve en effet qu</w:t>
      </w:r>
      <w:r w:rsidR="003848D0">
        <w:t>’</w:t>
      </w:r>
      <w:r>
        <w:t>elle</w:t>
      </w:r>
      <w:r w:rsidR="00D56FC4">
        <w:t xml:space="preserve"> </w:t>
      </w:r>
      <w:r>
        <w:t>ne constitue point une tentative d</w:t>
      </w:r>
      <w:r w:rsidR="003848D0">
        <w:t>’</w:t>
      </w:r>
      <w:r>
        <w:t>endoctrinement visant à préconiser</w:t>
      </w:r>
      <w:r w:rsidR="00D56FC4">
        <w:t xml:space="preserve"> </w:t>
      </w:r>
      <w:r>
        <w:t>un comportement sexuel déterminé.</w:t>
      </w:r>
      <w:r w:rsidR="003848D0">
        <w:t xml:space="preserve"> </w:t>
      </w:r>
      <w:r>
        <w:t>Elle ne s</w:t>
      </w:r>
      <w:r w:rsidR="003848D0">
        <w:t>’</w:t>
      </w:r>
      <w:r>
        <w:t>attache pas à exalter le</w:t>
      </w:r>
      <w:r w:rsidR="00D56FC4">
        <w:t xml:space="preserve"> </w:t>
      </w:r>
      <w:r>
        <w:t>sexe, ni à inciter les élèves à se livrer précocement à des pratiques</w:t>
      </w:r>
      <w:r w:rsidR="00D56FC4">
        <w:t xml:space="preserve"> </w:t>
      </w:r>
      <w:r>
        <w:t>dangereuses pour leur équilibre, leur santé ou leur avenir ou</w:t>
      </w:r>
      <w:r w:rsidR="00D56FC4">
        <w:t xml:space="preserve"> </w:t>
      </w:r>
      <w:r>
        <w:t>répréhensibles aux yeux de beaucoup de parents.</w:t>
      </w:r>
      <w:r w:rsidR="003848D0">
        <w:t xml:space="preserve"> </w:t>
      </w:r>
      <w:r>
        <w:t>En outre, elle ne</w:t>
      </w:r>
      <w:r w:rsidR="00D56FC4">
        <w:t xml:space="preserve"> </w:t>
      </w:r>
      <w:r>
        <w:t>touche pas au droit des parents d</w:t>
      </w:r>
      <w:r w:rsidR="003848D0">
        <w:t>’</w:t>
      </w:r>
      <w:r>
        <w:t>éclairer et conseiller leurs</w:t>
      </w:r>
      <w:r w:rsidR="00D56FC4">
        <w:t xml:space="preserve"> </w:t>
      </w:r>
      <w:r>
        <w:t>enfants, d</w:t>
      </w:r>
      <w:r w:rsidR="003848D0">
        <w:t>’</w:t>
      </w:r>
      <w:r>
        <w:t>exercer envers eux leurs fonctions naturelles d</w:t>
      </w:r>
      <w:r w:rsidR="003848D0">
        <w:t>’</w:t>
      </w:r>
      <w:r>
        <w:t>éducateurs,</w:t>
      </w:r>
      <w:r w:rsidR="00D56FC4">
        <w:t xml:space="preserve"> </w:t>
      </w:r>
      <w:r>
        <w:t>de les orienter dans une direction conforme à leurs propres convictions</w:t>
      </w:r>
      <w:r w:rsidR="00D56FC4">
        <w:t xml:space="preserve"> </w:t>
      </w:r>
      <w:r>
        <w:t>religieuses ou philosophiques.</w:t>
      </w:r>
    </w:p>
    <w:p w:rsidR="003206D8" w:rsidRDefault="003206D8" w:rsidP="002353B4">
      <w:pPr>
        <w:pStyle w:val="JuPara"/>
      </w:pPr>
      <w:r>
        <w:t>Assurément, des abus peuvent se produire da</w:t>
      </w:r>
      <w:r w:rsidR="002353B4">
        <w:t xml:space="preserve">ns la manière dont telle </w:t>
      </w:r>
      <w:r>
        <w:t>école ou tel maître applique les textes en vigueur et il incombe aux</w:t>
      </w:r>
      <w:r w:rsidR="002353B4">
        <w:t xml:space="preserve"> </w:t>
      </w:r>
      <w:r>
        <w:t>autorités compétentes de veiller avec le plus grand soin à ce que les</w:t>
      </w:r>
      <w:r w:rsidR="002353B4">
        <w:t xml:space="preserve"> </w:t>
      </w:r>
      <w:r>
        <w:t>convictions religieuses et philosophiques des parents ne soient pas</w:t>
      </w:r>
      <w:r w:rsidR="002353B4">
        <w:t xml:space="preserve"> </w:t>
      </w:r>
      <w:r>
        <w:t>heurtées à ce niveau par imprudence, manque de discernement ou</w:t>
      </w:r>
      <w:r w:rsidR="002353B4">
        <w:t xml:space="preserve"> </w:t>
      </w:r>
      <w:r>
        <w:t>prosélytisme intempestif.</w:t>
      </w:r>
      <w:r w:rsidR="003848D0">
        <w:t xml:space="preserve"> </w:t>
      </w:r>
      <w:r>
        <w:t>Il résulte pourtant des décisions de la</w:t>
      </w:r>
      <w:r w:rsidR="002353B4">
        <w:t xml:space="preserve"> </w:t>
      </w:r>
      <w:r>
        <w:t>Commission sur la recevabilité des requêtes que la Cour ne se trouve</w:t>
      </w:r>
      <w:r w:rsidR="002353B4">
        <w:t xml:space="preserve"> </w:t>
      </w:r>
      <w:r>
        <w:t>pas actuellement saisie de pareil problème (paragraphe 48 ci-dessus).</w:t>
      </w:r>
    </w:p>
    <w:p w:rsidR="003206D8" w:rsidRDefault="003206D8" w:rsidP="002353B4">
      <w:pPr>
        <w:pStyle w:val="JuPara"/>
      </w:pPr>
      <w:r>
        <w:t>La Cour aboutit donc à la conclusion q</w:t>
      </w:r>
      <w:r w:rsidR="002353B4">
        <w:t xml:space="preserve">ue la législation litigieuse ne </w:t>
      </w:r>
      <w:r>
        <w:t>blesse point en soi les convictions religieuses et philosophiques des</w:t>
      </w:r>
      <w:r w:rsidR="002353B4">
        <w:t xml:space="preserve"> </w:t>
      </w:r>
      <w:r>
        <w:t>requérants dans la mesure prohibée par la seconde phrase de l</w:t>
      </w:r>
      <w:r w:rsidR="003848D0">
        <w:t>’</w:t>
      </w:r>
      <w:r>
        <w:t>article 2</w:t>
      </w:r>
      <w:r w:rsidR="002353B4">
        <w:t xml:space="preserve"> </w:t>
      </w:r>
      <w:r>
        <w:t>du Protocole (P1-2), interprétée à la lumière de la première et de</w:t>
      </w:r>
      <w:r w:rsidR="002353B4">
        <w:t xml:space="preserve"> </w:t>
      </w:r>
      <w:r>
        <w:t>l</w:t>
      </w:r>
      <w:r w:rsidR="003848D0">
        <w:t>’</w:t>
      </w:r>
      <w:r>
        <w:t>ensemble de la Convention.</w:t>
      </w:r>
    </w:p>
    <w:p w:rsidR="003206D8" w:rsidRDefault="003206D8" w:rsidP="002353B4">
      <w:pPr>
        <w:pStyle w:val="JuPara"/>
      </w:pPr>
      <w:r>
        <w:t>Au demeurant, l</w:t>
      </w:r>
      <w:r w:rsidR="003848D0">
        <w:t>’</w:t>
      </w:r>
      <w:r w:rsidR="00ED5C28">
        <w:t>État</w:t>
      </w:r>
      <w:r>
        <w:t xml:space="preserve"> danois réserve une importante ressource aux</w:t>
      </w:r>
      <w:r w:rsidR="002353B4">
        <w:t xml:space="preserve"> </w:t>
      </w:r>
      <w:r>
        <w:t>parents qui, au nom de leur foi ou de leurs opinions, désirent</w:t>
      </w:r>
      <w:r w:rsidR="002353B4">
        <w:t xml:space="preserve"> </w:t>
      </w:r>
      <w:r>
        <w:t>soustraire leurs enfants à l</w:t>
      </w:r>
      <w:r w:rsidR="003848D0">
        <w:t>’</w:t>
      </w:r>
      <w:r>
        <w:t>éducation sexuelle intégrée: il les</w:t>
      </w:r>
      <w:r w:rsidR="002353B4">
        <w:t xml:space="preserve"> </w:t>
      </w:r>
      <w:r>
        <w:t>laisse libres soit de les confier à des écoles privées astreintes à</w:t>
      </w:r>
      <w:r w:rsidR="002353B4">
        <w:t xml:space="preserve"> </w:t>
      </w:r>
      <w:r>
        <w:t>des obligations moins strictes et, du reste, fortement subventionnées</w:t>
      </w:r>
      <w:r w:rsidR="002353B4">
        <w:t xml:space="preserve"> </w:t>
      </w:r>
      <w:r>
        <w:t>par lui (paragraphes 15, 18 et 34 ci-dessus), soit de les instruire ou</w:t>
      </w:r>
      <w:r w:rsidR="002353B4">
        <w:t xml:space="preserve"> </w:t>
      </w:r>
      <w:r>
        <w:t>faire instruire à domicile, sauf à subir les sacrifices et inconvénients</w:t>
      </w:r>
      <w:r w:rsidR="002353B4">
        <w:t xml:space="preserve"> </w:t>
      </w:r>
      <w:r>
        <w:t>indéniables qu</w:t>
      </w:r>
      <w:r w:rsidR="003848D0">
        <w:t>’</w:t>
      </w:r>
      <w:r>
        <w:t>entraîne le recours à l</w:t>
      </w:r>
      <w:r w:rsidR="003848D0">
        <w:t>’</w:t>
      </w:r>
      <w:r>
        <w:t>une de ces solutions de</w:t>
      </w:r>
      <w:r w:rsidR="002353B4">
        <w:t xml:space="preserve"> </w:t>
      </w:r>
      <w:r>
        <w:t>rechange.</w:t>
      </w:r>
    </w:p>
    <w:p w:rsidR="003206D8" w:rsidRDefault="003206D8" w:rsidP="002353B4">
      <w:pPr>
        <w:pStyle w:val="JuPara"/>
      </w:pPr>
      <w:r>
        <w:t>55.</w:t>
      </w:r>
      <w:r w:rsidR="003848D0">
        <w:t xml:space="preserve"> </w:t>
      </w:r>
      <w:r>
        <w:t>Les requérants invoquent aussi la</w:t>
      </w:r>
      <w:r w:rsidR="002353B4">
        <w:t xml:space="preserve"> première phrase de l</w:t>
      </w:r>
      <w:r w:rsidR="003848D0">
        <w:t>’</w:t>
      </w:r>
      <w:r w:rsidR="002353B4">
        <w:t xml:space="preserve">article 2 </w:t>
      </w:r>
      <w:r>
        <w:t>(P1-2).</w:t>
      </w:r>
      <w:r w:rsidR="003848D0">
        <w:t xml:space="preserve"> </w:t>
      </w:r>
      <w:r>
        <w:t>A cet égard, il suffit de constater que l</w:t>
      </w:r>
      <w:r w:rsidR="003848D0">
        <w:t>’</w:t>
      </w:r>
      <w:r w:rsidR="00ED5C28">
        <w:t>État</w:t>
      </w:r>
      <w:r>
        <w:t xml:space="preserve"> défendeur n</w:t>
      </w:r>
      <w:r w:rsidR="003848D0">
        <w:t>’</w:t>
      </w:r>
      <w:r>
        <w:t>a</w:t>
      </w:r>
      <w:r w:rsidR="002353B4">
        <w:t xml:space="preserve"> </w:t>
      </w:r>
      <w:r>
        <w:t>refusé et ne refuse à leurs enfants ni l</w:t>
      </w:r>
      <w:r w:rsidR="003848D0">
        <w:t>’</w:t>
      </w:r>
      <w:r>
        <w:t>accès aux établissements</w:t>
      </w:r>
      <w:r w:rsidR="002353B4">
        <w:t xml:space="preserve"> </w:t>
      </w:r>
      <w:r>
        <w:t>scolaires existant au Danemark ni le droit de tirer, par la</w:t>
      </w:r>
      <w:r w:rsidR="002353B4">
        <w:t xml:space="preserve"> </w:t>
      </w:r>
      <w:r>
        <w:t>reconnaissance officielle de leurs études, un bénéfice de</w:t>
      </w:r>
      <w:r w:rsidR="002353B4">
        <w:t xml:space="preserve"> </w:t>
      </w:r>
      <w:r>
        <w:t>l</w:t>
      </w:r>
      <w:r w:rsidR="003848D0">
        <w:t>’</w:t>
      </w:r>
      <w:r>
        <w:t>enseignement suivi par eux (arrêt du 23 juillet 1968 sur le fond de</w:t>
      </w:r>
      <w:r w:rsidR="002353B4">
        <w:t xml:space="preserve"> </w:t>
      </w:r>
      <w:r>
        <w:t>l</w:t>
      </w:r>
      <w:r w:rsidR="003848D0">
        <w:t>’</w:t>
      </w:r>
      <w:r>
        <w:t>affaire "linguistique belge", série A n</w:t>
      </w:r>
      <w:r w:rsidR="003848D0" w:rsidRPr="003848D0">
        <w:rPr>
          <w:vertAlign w:val="superscript"/>
        </w:rPr>
        <w:t>o</w:t>
      </w:r>
      <w:r>
        <w:t xml:space="preserve"> 6, pp. 30-32, paras. 3-5).</w:t>
      </w:r>
    </w:p>
    <w:p w:rsidR="003206D8" w:rsidRDefault="003206D8" w:rsidP="002353B4">
      <w:pPr>
        <w:pStyle w:val="JuHIRoman"/>
      </w:pPr>
      <w:r>
        <w:t>II. SUR LA VIOLATION ALLEGUEE DE L</w:t>
      </w:r>
      <w:r w:rsidR="003848D0">
        <w:t>’</w:t>
      </w:r>
      <w:r>
        <w:t>ARTICL</w:t>
      </w:r>
      <w:r w:rsidR="002353B4">
        <w:t xml:space="preserve">E 14 (art. 14) DE LA CONVENTION </w:t>
      </w:r>
      <w:r>
        <w:t>COMBINE AVEC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(art. 14+P1-2)</w:t>
      </w:r>
    </w:p>
    <w:p w:rsidR="003206D8" w:rsidRDefault="003206D8" w:rsidP="002353B4">
      <w:pPr>
        <w:pStyle w:val="JuPara"/>
      </w:pPr>
      <w:r>
        <w:t>56.</w:t>
      </w:r>
      <w:r w:rsidR="003848D0">
        <w:t xml:space="preserve"> </w:t>
      </w:r>
      <w:r>
        <w:t>Les requérants se prétend</w:t>
      </w:r>
      <w:r w:rsidR="002353B4">
        <w:t xml:space="preserve">ent également victimes, dans la </w:t>
      </w:r>
      <w:r>
        <w:t>jouissance des droits protégés par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</w:t>
      </w:r>
      <w:r w:rsidR="002353B4">
        <w:t xml:space="preserve"> </w:t>
      </w:r>
      <w:r>
        <w:t>(P1-2), d</w:t>
      </w:r>
      <w:r w:rsidR="003848D0">
        <w:t>’</w:t>
      </w:r>
      <w:r>
        <w:t>une discrimination fondée sur la religion et incompatible</w:t>
      </w:r>
      <w:r w:rsidR="002353B4">
        <w:t xml:space="preserve"> </w:t>
      </w:r>
      <w:r>
        <w:t>avec l</w:t>
      </w:r>
      <w:r w:rsidR="003848D0">
        <w:t>’</w:t>
      </w:r>
      <w:r>
        <w:t>article 14 (art. 14) de la Convention: ils soulignent que la</w:t>
      </w:r>
      <w:r w:rsidR="002353B4">
        <w:t xml:space="preserve"> </w:t>
      </w:r>
      <w:r>
        <w:t>législation danoise permet aux parents de faire exempter leurs enfants</w:t>
      </w:r>
      <w:r w:rsidR="002353B4">
        <w:t xml:space="preserve"> </w:t>
      </w:r>
      <w:r>
        <w:t>des cours d</w:t>
      </w:r>
      <w:r w:rsidR="003848D0">
        <w:t>’</w:t>
      </w:r>
      <w:r>
        <w:t>instruction religieuse dispensés dans les écoles</w:t>
      </w:r>
      <w:r w:rsidR="002353B4">
        <w:t xml:space="preserve"> </w:t>
      </w:r>
      <w:r>
        <w:t>publiques, tandis qu</w:t>
      </w:r>
      <w:r w:rsidR="003848D0">
        <w:t>’</w:t>
      </w:r>
      <w:r>
        <w:t>en matière d</w:t>
      </w:r>
      <w:r w:rsidR="003848D0">
        <w:t>’</w:t>
      </w:r>
      <w:r>
        <w:t>éducation sexuelle intégrée elle</w:t>
      </w:r>
      <w:r w:rsidR="002353B4">
        <w:t xml:space="preserve"> </w:t>
      </w:r>
      <w:r>
        <w:t>n</w:t>
      </w:r>
      <w:r w:rsidR="003848D0">
        <w:t>’</w:t>
      </w:r>
      <w:r>
        <w:t>offre aucune possibilité comparable (paragraphes 70, 80 et 171-172</w:t>
      </w:r>
      <w:r w:rsidR="002353B4">
        <w:t xml:space="preserve"> </w:t>
      </w:r>
      <w:r>
        <w:t>du rapport de la Commission).</w:t>
      </w:r>
    </w:p>
    <w:p w:rsidR="003206D8" w:rsidRDefault="003206D8" w:rsidP="002353B4">
      <w:pPr>
        <w:pStyle w:val="JuPara"/>
      </w:pPr>
      <w:r>
        <w:t>La Cour relève d</w:t>
      </w:r>
      <w:r w:rsidR="003848D0">
        <w:t>’</w:t>
      </w:r>
      <w:r>
        <w:t>abord que l</w:t>
      </w:r>
      <w:r w:rsidR="003848D0">
        <w:t>’</w:t>
      </w:r>
      <w:r>
        <w:t>article 14 (</w:t>
      </w:r>
      <w:r w:rsidR="002353B4">
        <w:t xml:space="preserve">art. 14) interdit, dans le </w:t>
      </w:r>
      <w:r>
        <w:t>domaine des droits et libertés garantis, un traitement discriminatoire</w:t>
      </w:r>
      <w:r w:rsidR="002353B4">
        <w:t xml:space="preserve"> </w:t>
      </w:r>
      <w:r>
        <w:t>ayant pour base ou pour motif une caractéristique personnelle</w:t>
      </w:r>
      <w:r w:rsidR="002353B4">
        <w:t xml:space="preserve"> </w:t>
      </w:r>
      <w:r>
        <w:t>("situation") par laquelle des personnes ou groupes de personnes se</w:t>
      </w:r>
      <w:r w:rsidR="002353B4">
        <w:t xml:space="preserve"> </w:t>
      </w:r>
      <w:r>
        <w:t>distinguent les uns des autres.</w:t>
      </w:r>
      <w:r w:rsidR="003848D0">
        <w:t xml:space="preserve"> </w:t>
      </w:r>
      <w:r>
        <w:t>Or la législation litigieuse ne</w:t>
      </w:r>
      <w:r w:rsidR="002353B4">
        <w:t xml:space="preserve"> </w:t>
      </w:r>
      <w:r>
        <w:t>renferme rien qui puisse donner l</w:t>
      </w:r>
      <w:r w:rsidR="003848D0">
        <w:t>’</w:t>
      </w:r>
      <w:r>
        <w:t>impression qu</w:t>
      </w:r>
      <w:r w:rsidR="003848D0">
        <w:t>’</w:t>
      </w:r>
      <w:r>
        <w:t>un tel traitement y</w:t>
      </w:r>
      <w:r w:rsidR="002353B4">
        <w:t xml:space="preserve"> </w:t>
      </w:r>
      <w:r>
        <w:t>ait été envisagé.</w:t>
      </w:r>
    </w:p>
    <w:p w:rsidR="003206D8" w:rsidRDefault="003206D8" w:rsidP="00BC55D4">
      <w:pPr>
        <w:pStyle w:val="JuPara"/>
      </w:pPr>
      <w:r>
        <w:t>Surtout, la Cour constate avec l</w:t>
      </w:r>
      <w:r w:rsidR="00BC55D4">
        <w:t xml:space="preserve">a Commission (paragraphe 173 du </w:t>
      </w:r>
      <w:r>
        <w:t>rapport) qu</w:t>
      </w:r>
      <w:r w:rsidR="003848D0">
        <w:t>’</w:t>
      </w:r>
      <w:r>
        <w:t>il existe une différence de nature entre l</w:t>
      </w:r>
      <w:r w:rsidR="003848D0">
        <w:t>’</w:t>
      </w:r>
      <w:r>
        <w:t>instruction</w:t>
      </w:r>
      <w:r w:rsidR="00BC55D4">
        <w:t xml:space="preserve"> </w:t>
      </w:r>
      <w:r>
        <w:t>religieuse et l</w:t>
      </w:r>
      <w:r w:rsidR="003848D0">
        <w:t>’</w:t>
      </w:r>
      <w:r>
        <w:t>éducation sexuelle dont il s</w:t>
      </w:r>
      <w:r w:rsidR="003848D0">
        <w:t>’</w:t>
      </w:r>
      <w:r>
        <w:t>agit en l</w:t>
      </w:r>
      <w:r w:rsidR="003848D0">
        <w:t>’</w:t>
      </w:r>
      <w:r>
        <w:t>espèce.</w:t>
      </w:r>
      <w:r w:rsidR="00BC55D4">
        <w:t xml:space="preserve"> </w:t>
      </w:r>
      <w:r>
        <w:t>La première répand nécessairement des doctrines et non de simples</w:t>
      </w:r>
      <w:r w:rsidR="00BC55D4">
        <w:t xml:space="preserve"> </w:t>
      </w:r>
      <w:r>
        <w:t>connaissances; la Cour a déjà conclu qu</w:t>
      </w:r>
      <w:r w:rsidR="003848D0">
        <w:t>’</w:t>
      </w:r>
      <w:r>
        <w:t>il n</w:t>
      </w:r>
      <w:r w:rsidR="003848D0">
        <w:t>’</w:t>
      </w:r>
      <w:r>
        <w:t>en va pas de même de la</w:t>
      </w:r>
      <w:r w:rsidR="00BC55D4">
        <w:t xml:space="preserve"> </w:t>
      </w:r>
      <w:r>
        <w:t>seconde (paragraphe 54 ci-dessus).</w:t>
      </w:r>
      <w:r w:rsidR="003848D0">
        <w:t xml:space="preserve"> </w:t>
      </w:r>
      <w:r>
        <w:t>Dès lors, la distinction dénoncée</w:t>
      </w:r>
      <w:r w:rsidR="00BC55D4">
        <w:t xml:space="preserve"> </w:t>
      </w:r>
      <w:r>
        <w:t>par les requérants s</w:t>
      </w:r>
      <w:r w:rsidR="003848D0">
        <w:t>’</w:t>
      </w:r>
      <w:r>
        <w:t>appuie sur des éléments de fait dissemblables et</w:t>
      </w:r>
      <w:r w:rsidR="00BC55D4">
        <w:t xml:space="preserve"> </w:t>
      </w:r>
      <w:r>
        <w:t>cadre avec les exigences de l</w:t>
      </w:r>
      <w:r w:rsidR="003848D0">
        <w:t>’</w:t>
      </w:r>
      <w:r>
        <w:t>article 14 (art. 14).</w:t>
      </w:r>
    </w:p>
    <w:p w:rsidR="003206D8" w:rsidRDefault="003206D8" w:rsidP="00BC55D4">
      <w:pPr>
        <w:pStyle w:val="JuHIRoman"/>
      </w:pPr>
      <w:r>
        <w:t>III. SUR LA VIOLATION ALLEGU</w:t>
      </w:r>
      <w:r w:rsidR="00BC55D4">
        <w:t xml:space="preserve">EE DES ARTICLES 8 ET 9 (art. 8, </w:t>
      </w:r>
      <w:r>
        <w:t>art. 9) DE LA CONVENTION</w:t>
      </w:r>
    </w:p>
    <w:p w:rsidR="003206D8" w:rsidRDefault="003206D8" w:rsidP="00BC55D4">
      <w:pPr>
        <w:pStyle w:val="JuPara"/>
      </w:pPr>
      <w:r>
        <w:t>57.</w:t>
      </w:r>
      <w:r w:rsidR="003848D0">
        <w:t xml:space="preserve"> </w:t>
      </w:r>
      <w:r>
        <w:t>Les requérants invoquent enfin, sans fournir beaucoup de</w:t>
      </w:r>
      <w:r w:rsidR="00BC55D4">
        <w:t xml:space="preserve"> </w:t>
      </w:r>
      <w:r>
        <w:t>précisions, les articles 8 et 9 (art. 8, art. 9) de la Convention</w:t>
      </w:r>
      <w:r w:rsidR="00BC55D4">
        <w:t xml:space="preserve"> </w:t>
      </w:r>
      <w:r>
        <w:t>combinés avec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(art. 8+P1-2, art. 9+P1-2):</w:t>
      </w:r>
      <w:r w:rsidR="00BC55D4">
        <w:t xml:space="preserve"> </w:t>
      </w:r>
      <w:r>
        <w:t xml:space="preserve">la législation dont ils se plaignent </w:t>
      </w:r>
      <w:r w:rsidR="00BC55D4">
        <w:t xml:space="preserve">porterait atteinte à leur droit </w:t>
      </w:r>
      <w:r>
        <w:t>au respect de leur vie privée et familiale ainsi qu</w:t>
      </w:r>
      <w:r w:rsidR="003848D0">
        <w:t>’</w:t>
      </w:r>
      <w:r>
        <w:t>à leur droit à la</w:t>
      </w:r>
      <w:r w:rsidR="00BC55D4">
        <w:t xml:space="preserve"> </w:t>
      </w:r>
      <w:r>
        <w:t>liberté de pensée, de conscience et de religion (paragraphes 54, 55,</w:t>
      </w:r>
      <w:r w:rsidR="00BC55D4">
        <w:t xml:space="preserve"> </w:t>
      </w:r>
      <w:r>
        <w:t>72, 89 et 170 du rapport de la Commission).</w:t>
      </w:r>
    </w:p>
    <w:p w:rsidR="003206D8" w:rsidRDefault="003206D8" w:rsidP="00BC55D4">
      <w:pPr>
        <w:pStyle w:val="JuPara"/>
      </w:pPr>
      <w:r>
        <w:t>La Cour ne discerne cependant nulle</w:t>
      </w:r>
      <w:r w:rsidR="00BC55D4">
        <w:t xml:space="preserve"> infraction aux articles 8 et 9 </w:t>
      </w:r>
      <w:r>
        <w:t>(art. 8, art. 9) dont elle a d</w:t>
      </w:r>
      <w:r w:rsidR="003848D0">
        <w:t>’</w:t>
      </w:r>
      <w:r>
        <w:t>ailleurs tenu compte en interprétant</w:t>
      </w:r>
      <w:r w:rsidR="00BC55D4">
        <w:t xml:space="preserve"> </w:t>
      </w:r>
      <w:r>
        <w:t>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 (paragraphes 52 et 53 ci-dessus).</w:t>
      </w:r>
    </w:p>
    <w:p w:rsidR="003206D8" w:rsidRDefault="003206D8" w:rsidP="00BC55D4">
      <w:pPr>
        <w:pStyle w:val="JuHIRoman"/>
      </w:pPr>
      <w:r>
        <w:t>IV. SUR L</w:t>
      </w:r>
      <w:r w:rsidR="003848D0">
        <w:t>’</w:t>
      </w:r>
      <w:r>
        <w:t xml:space="preserve">APPLICATION </w:t>
      </w:r>
      <w:r w:rsidR="00BC55D4">
        <w:t>DE L</w:t>
      </w:r>
      <w:r w:rsidR="003848D0">
        <w:t>’</w:t>
      </w:r>
      <w:r w:rsidR="00BC55D4">
        <w:t xml:space="preserve">ARTICLE 50 (art. 50) DE LA </w:t>
      </w:r>
      <w:r>
        <w:t>CONVENTION</w:t>
      </w:r>
    </w:p>
    <w:p w:rsidR="003206D8" w:rsidRDefault="003206D8" w:rsidP="00BC55D4">
      <w:pPr>
        <w:pStyle w:val="JuPara"/>
      </w:pPr>
      <w:r>
        <w:t>58.</w:t>
      </w:r>
      <w:r w:rsidR="003848D0">
        <w:t xml:space="preserve"> </w:t>
      </w:r>
      <w:r>
        <w:t>N</w:t>
      </w:r>
      <w:r w:rsidR="003848D0">
        <w:t>’</w:t>
      </w:r>
      <w:r>
        <w:t>ayant relevé aucune violation du Protocole n</w:t>
      </w:r>
      <w:r w:rsidR="003848D0" w:rsidRPr="003848D0">
        <w:rPr>
          <w:vertAlign w:val="superscript"/>
        </w:rPr>
        <w:t>o</w:t>
      </w:r>
      <w:r>
        <w:t xml:space="preserve"> 1 (P1) ni de la</w:t>
      </w:r>
      <w:r w:rsidR="00BC55D4">
        <w:t xml:space="preserve"> </w:t>
      </w:r>
      <w:r>
        <w:t>Convention, la Cour note que la question de l</w:t>
      </w:r>
      <w:r w:rsidR="003848D0">
        <w:t>’</w:t>
      </w:r>
      <w:r>
        <w:t>application de</w:t>
      </w:r>
      <w:r w:rsidR="00BC55D4">
        <w:t xml:space="preserve"> </w:t>
      </w:r>
      <w:r>
        <w:t>l</w:t>
      </w:r>
      <w:r w:rsidR="003848D0">
        <w:t>’</w:t>
      </w:r>
      <w:r>
        <w:t>article 50 (art. 50) ne se pose pas en l</w:t>
      </w:r>
      <w:r w:rsidR="003848D0">
        <w:t>’</w:t>
      </w:r>
      <w:r>
        <w:t>espèce.</w:t>
      </w:r>
    </w:p>
    <w:p w:rsidR="003206D8" w:rsidRDefault="003206D8" w:rsidP="00BC55D4">
      <w:pPr>
        <w:pStyle w:val="JuHHead"/>
      </w:pPr>
      <w:r>
        <w:t>PAR CES MOTIFS, LA COUR</w:t>
      </w:r>
    </w:p>
    <w:p w:rsidR="003206D8" w:rsidRDefault="003206D8" w:rsidP="00BC55D4">
      <w:pPr>
        <w:pStyle w:val="JuList"/>
      </w:pPr>
      <w:r>
        <w:t>1.</w:t>
      </w:r>
      <w:r w:rsidR="003848D0">
        <w:t xml:space="preserve"> </w:t>
      </w:r>
      <w:r>
        <w:t>Dit, par six voix contre une</w:t>
      </w:r>
      <w:r w:rsidR="00BC55D4">
        <w:t>, qu</w:t>
      </w:r>
      <w:r w:rsidR="003848D0">
        <w:t>’</w:t>
      </w:r>
      <w:r w:rsidR="00BC55D4">
        <w:t>il n</w:t>
      </w:r>
      <w:r w:rsidR="003848D0">
        <w:t>’</w:t>
      </w:r>
      <w:r w:rsidR="00BC55D4">
        <w:t xml:space="preserve">y pas eu violation de </w:t>
      </w:r>
      <w:r>
        <w:t>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(P1-2), ni de l</w:t>
      </w:r>
      <w:r w:rsidR="003848D0">
        <w:t>’</w:t>
      </w:r>
      <w:r>
        <w:t>article 14 de</w:t>
      </w:r>
      <w:r w:rsidR="00BC55D4">
        <w:t xml:space="preserve"> </w:t>
      </w:r>
      <w:r>
        <w:t>la Convention combiné avec ce même article 2 (art. 14+P1-2);</w:t>
      </w:r>
    </w:p>
    <w:p w:rsidR="003206D8" w:rsidRDefault="003206D8" w:rsidP="00BC55D4">
      <w:pPr>
        <w:pStyle w:val="JuList"/>
      </w:pPr>
    </w:p>
    <w:p w:rsidR="003206D8" w:rsidRDefault="003206D8" w:rsidP="00BC55D4">
      <w:pPr>
        <w:pStyle w:val="JuList"/>
      </w:pPr>
      <w:r>
        <w:t>2.</w:t>
      </w:r>
      <w:r w:rsidR="003848D0">
        <w:t xml:space="preserve"> </w:t>
      </w:r>
      <w:r>
        <w:t>Dit, à l</w:t>
      </w:r>
      <w:r w:rsidR="003848D0">
        <w:t>’</w:t>
      </w:r>
      <w:r>
        <w:t>unanimité, qu</w:t>
      </w:r>
      <w:r w:rsidR="003848D0">
        <w:t>’</w:t>
      </w:r>
      <w:r>
        <w:t>il n</w:t>
      </w:r>
      <w:r w:rsidR="003848D0">
        <w:t>’</w:t>
      </w:r>
      <w:r>
        <w:t>y a pas</w:t>
      </w:r>
      <w:r w:rsidR="00BC55D4">
        <w:t xml:space="preserve"> eu violation des articles 8 et </w:t>
      </w:r>
      <w:r>
        <w:t>9 de la Convention, combinés avec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</w:t>
      </w:r>
      <w:r w:rsidR="00BC55D4">
        <w:t xml:space="preserve"> </w:t>
      </w:r>
      <w:r>
        <w:t>(art. 8+P1-2, art. 9+P1-2).</w:t>
      </w:r>
    </w:p>
    <w:p w:rsidR="003206D8" w:rsidRDefault="003206D8" w:rsidP="003206D8"/>
    <w:p w:rsidR="003206D8" w:rsidRDefault="003206D8" w:rsidP="00BC55D4">
      <w:pPr>
        <w:pStyle w:val="JuParaLast"/>
      </w:pPr>
      <w:r>
        <w:t>Rendu en français et en anglais, le text</w:t>
      </w:r>
      <w:r w:rsidR="00BC55D4">
        <w:t xml:space="preserve">e français faisant foi, au </w:t>
      </w:r>
      <w:r>
        <w:t>Palais des Droits de l</w:t>
      </w:r>
      <w:r w:rsidR="003848D0">
        <w:t>’</w:t>
      </w:r>
      <w:r>
        <w:t>Homme à Strasbourg, le sept décembre mil neuf</w:t>
      </w:r>
      <w:r w:rsidR="00BC55D4">
        <w:t xml:space="preserve"> </w:t>
      </w:r>
      <w:r>
        <w:t>cent soixante-seize.</w:t>
      </w:r>
    </w:p>
    <w:p w:rsidR="003206D8" w:rsidRDefault="003206D8" w:rsidP="003206D8"/>
    <w:p w:rsidR="005E0018" w:rsidRDefault="005E0018" w:rsidP="00BC55D4">
      <w:pPr>
        <w:pStyle w:val="JuSigned"/>
        <w:jc w:val="right"/>
      </w:pPr>
    </w:p>
    <w:p w:rsidR="003206D8" w:rsidRPr="00BC55D4" w:rsidRDefault="003206D8" w:rsidP="00BC55D4">
      <w:pPr>
        <w:pStyle w:val="JuSigned"/>
        <w:jc w:val="right"/>
        <w:rPr>
          <w:rStyle w:val="JuNames"/>
        </w:rPr>
      </w:pPr>
      <w:r>
        <w:t xml:space="preserve">Giorgio </w:t>
      </w:r>
      <w:r w:rsidRPr="00BC55D4">
        <w:rPr>
          <w:rStyle w:val="JuNames"/>
        </w:rPr>
        <w:t>BALLADORE PALLIERI</w:t>
      </w:r>
    </w:p>
    <w:p w:rsidR="003206D8" w:rsidRDefault="003206D8" w:rsidP="00BC55D4">
      <w:pPr>
        <w:pStyle w:val="JuSigned"/>
        <w:jc w:val="right"/>
      </w:pPr>
      <w:r>
        <w:t>Président</w:t>
      </w:r>
    </w:p>
    <w:p w:rsidR="003206D8" w:rsidRDefault="003206D8" w:rsidP="003206D8"/>
    <w:p w:rsidR="003206D8" w:rsidRDefault="003206D8" w:rsidP="00BC55D4">
      <w:pPr>
        <w:pStyle w:val="JuSigned"/>
      </w:pPr>
      <w:r>
        <w:t xml:space="preserve">Marc-André </w:t>
      </w:r>
      <w:r w:rsidRPr="00BC55D4">
        <w:rPr>
          <w:rStyle w:val="JuNames"/>
        </w:rPr>
        <w:t>EISSEN</w:t>
      </w:r>
    </w:p>
    <w:p w:rsidR="003206D8" w:rsidRDefault="003206D8" w:rsidP="00BC55D4">
      <w:pPr>
        <w:pStyle w:val="JuSigned"/>
      </w:pPr>
      <w:r>
        <w:t>Greffier</w:t>
      </w:r>
    </w:p>
    <w:p w:rsidR="003206D8" w:rsidRDefault="003206D8" w:rsidP="003206D8"/>
    <w:p w:rsidR="003206D8" w:rsidRDefault="003206D8" w:rsidP="00BC55D4">
      <w:pPr>
        <w:pStyle w:val="JuParaLast"/>
      </w:pPr>
      <w:r>
        <w:t>Au présent arrêt se trouve joint, conformément à l</w:t>
      </w:r>
      <w:r w:rsidR="003848D0">
        <w:t>’</w:t>
      </w:r>
      <w:r>
        <w:t>article 51 par. 2</w:t>
      </w:r>
      <w:r w:rsidR="00BC55D4">
        <w:t xml:space="preserve"> </w:t>
      </w:r>
      <w:r>
        <w:t>(art. 51-2) de la Convention et à l</w:t>
      </w:r>
      <w:r w:rsidR="003848D0">
        <w:t>’</w:t>
      </w:r>
      <w:r>
        <w:t>article 50 par. 2 du règlement,</w:t>
      </w:r>
      <w:r w:rsidR="00BC55D4">
        <w:t xml:space="preserve"> </w:t>
      </w:r>
      <w:r>
        <w:t>l</w:t>
      </w:r>
      <w:r w:rsidR="003848D0">
        <w:t>’</w:t>
      </w:r>
      <w:r>
        <w:t>exposé de l</w:t>
      </w:r>
      <w:r w:rsidR="003848D0">
        <w:t>’</w:t>
      </w:r>
      <w:r>
        <w:t>opinion séparée de M. le juge Verdross.</w:t>
      </w:r>
    </w:p>
    <w:p w:rsidR="003206D8" w:rsidRDefault="003206D8" w:rsidP="003206D8"/>
    <w:p w:rsidR="003206D8" w:rsidRDefault="003206D8" w:rsidP="00BC55D4">
      <w:pPr>
        <w:pStyle w:val="JuInitialled"/>
      </w:pPr>
      <w:r>
        <w:t>G. B. P.</w:t>
      </w:r>
    </w:p>
    <w:p w:rsidR="003206D8" w:rsidRDefault="003206D8" w:rsidP="00BC55D4">
      <w:pPr>
        <w:pStyle w:val="JuInitialled"/>
      </w:pPr>
      <w:r>
        <w:t>M.-A. E.</w:t>
      </w:r>
    </w:p>
    <w:p w:rsidR="00447F73" w:rsidRDefault="00447F73" w:rsidP="003206D8">
      <w:pPr>
        <w:sectPr w:rsidR="00447F73" w:rsidSect="00440838">
          <w:footnotePr>
            <w:numRestart w:val="eachPage"/>
          </w:footnotePr>
          <w:type w:val="continuous"/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  <w:titlePg/>
        </w:sectPr>
      </w:pPr>
    </w:p>
    <w:p w:rsidR="003206D8" w:rsidRDefault="003206D8" w:rsidP="003206D8"/>
    <w:p w:rsidR="003206D8" w:rsidRDefault="00447F73" w:rsidP="0012316A">
      <w:pPr>
        <w:pStyle w:val="OpiHHead"/>
      </w:pPr>
      <w:r>
        <w:br w:type="page"/>
      </w:r>
      <w:r w:rsidR="003206D8">
        <w:t>OPINION SEPAREE DE M. LE JUGE VERDROSS</w:t>
      </w:r>
    </w:p>
    <w:p w:rsidR="003206D8" w:rsidRDefault="003206D8" w:rsidP="0065345F">
      <w:pPr>
        <w:pStyle w:val="OpiPara"/>
      </w:pPr>
      <w:r>
        <w:t>J</w:t>
      </w:r>
      <w:r w:rsidR="003848D0">
        <w:t>’</w:t>
      </w:r>
      <w:r>
        <w:t xml:space="preserve">ai approuvé les paragraphes 1 à 52, </w:t>
      </w:r>
      <w:r w:rsidR="0065345F">
        <w:t>55 et 57 de l</w:t>
      </w:r>
      <w:r w:rsidR="003848D0">
        <w:t>’</w:t>
      </w:r>
      <w:r w:rsidR="0065345F">
        <w:t xml:space="preserve">arrêt, mais à mon </w:t>
      </w:r>
      <w:r>
        <w:t>vif regret je n</w:t>
      </w:r>
      <w:r w:rsidR="003848D0">
        <w:t>’</w:t>
      </w:r>
      <w:r>
        <w:t>ai pu voter pour le point 1 du dispositif ni souscrire</w:t>
      </w:r>
      <w:r w:rsidR="0065345F">
        <w:t xml:space="preserve"> </w:t>
      </w:r>
      <w:r>
        <w:t>aux motifs correspondants (paragraphes 53-54 et 56).</w:t>
      </w:r>
      <w:r w:rsidR="003848D0">
        <w:t xml:space="preserve"> </w:t>
      </w:r>
      <w:r>
        <w:t>En voici les</w:t>
      </w:r>
      <w:r w:rsidR="0065345F">
        <w:t xml:space="preserve"> </w:t>
      </w:r>
      <w:r>
        <w:t>raisons:</w:t>
      </w:r>
    </w:p>
    <w:p w:rsidR="003206D8" w:rsidRDefault="003206D8" w:rsidP="0065345F">
      <w:pPr>
        <w:pStyle w:val="OpiPara"/>
      </w:pPr>
      <w:r>
        <w:t>Je suis d</w:t>
      </w:r>
      <w:r w:rsidR="003848D0">
        <w:t>’</w:t>
      </w:r>
      <w:r>
        <w:t>accord avec le point de</w:t>
      </w:r>
      <w:r w:rsidR="0065345F">
        <w:t xml:space="preserve"> départ du gouvernement danois, </w:t>
      </w:r>
      <w:r>
        <w:t>confirmé par l</w:t>
      </w:r>
      <w:r w:rsidR="003848D0">
        <w:t>’</w:t>
      </w:r>
      <w:r>
        <w:t>arrêt, à savoir qu</w:t>
      </w:r>
      <w:r w:rsidR="003848D0">
        <w:t>’</w:t>
      </w:r>
      <w:r>
        <w:t>aucune disposition de la Convention</w:t>
      </w:r>
      <w:r w:rsidR="0065345F">
        <w:t xml:space="preserve"> </w:t>
      </w:r>
      <w:r>
        <w:t>n</w:t>
      </w:r>
      <w:r w:rsidR="003848D0">
        <w:t>’</w:t>
      </w:r>
      <w:r>
        <w:t xml:space="preserve">empêche les </w:t>
      </w:r>
      <w:r w:rsidR="00ED5C28">
        <w:t>État</w:t>
      </w:r>
      <w:r>
        <w:t>s contractants d</w:t>
      </w:r>
      <w:r w:rsidR="003848D0">
        <w:t>’</w:t>
      </w:r>
      <w:r>
        <w:t>intégrer dans leur système scolaire</w:t>
      </w:r>
      <w:r w:rsidR="0065345F">
        <w:t xml:space="preserve"> </w:t>
      </w:r>
      <w:r>
        <w:t>l</w:t>
      </w:r>
      <w:r w:rsidR="003848D0">
        <w:t>’</w:t>
      </w:r>
      <w:r>
        <w:t>enseignement en matière sexuelle et de le rendre ainsi en principe</w:t>
      </w:r>
      <w:r w:rsidR="0065345F">
        <w:t xml:space="preserve"> </w:t>
      </w:r>
      <w:r>
        <w:t>obligatoire.</w:t>
      </w:r>
      <w:r w:rsidR="003848D0">
        <w:t xml:space="preserve"> </w:t>
      </w:r>
      <w:r>
        <w:t>La seconde phrase de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</w:t>
      </w:r>
      <w:r w:rsidR="0065345F">
        <w:t xml:space="preserve"> </w:t>
      </w:r>
      <w:r>
        <w:t>(P1-2) n</w:t>
      </w:r>
      <w:r w:rsidR="003848D0">
        <w:t>’</w:t>
      </w:r>
      <w:r>
        <w:t xml:space="preserve">empêche donc pas les </w:t>
      </w:r>
      <w:r w:rsidR="00ED5C28">
        <w:t>État</w:t>
      </w:r>
      <w:r>
        <w:t>s de répandre dans les écoles publiques,</w:t>
      </w:r>
      <w:r w:rsidR="0065345F">
        <w:t xml:space="preserve"> </w:t>
      </w:r>
      <w:r>
        <w:t>par l</w:t>
      </w:r>
      <w:r w:rsidR="003848D0">
        <w:t>’</w:t>
      </w:r>
      <w:r>
        <w:t>enseignement, des informations objectives ayant un caractère</w:t>
      </w:r>
      <w:r w:rsidR="0065345F">
        <w:t xml:space="preserve"> </w:t>
      </w:r>
      <w:r>
        <w:t>religieux ou philosophique.</w:t>
      </w:r>
      <w:r w:rsidR="003848D0">
        <w:t xml:space="preserve"> </w:t>
      </w:r>
      <w:r>
        <w:t xml:space="preserve">Toutefois, cette liberté des </w:t>
      </w:r>
      <w:r w:rsidR="00ED5C28">
        <w:t>État</w:t>
      </w:r>
      <w:r>
        <w:t>s est</w:t>
      </w:r>
      <w:r w:rsidR="0065345F">
        <w:t xml:space="preserve"> </w:t>
      </w:r>
      <w:r>
        <w:t>limitée par la seconde phrase de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</w:t>
      </w:r>
      <w:r w:rsidR="0065345F">
        <w:t xml:space="preserve"> </w:t>
      </w:r>
      <w:r>
        <w:t>(P1-2), d</w:t>
      </w:r>
      <w:r w:rsidR="003848D0">
        <w:t>’</w:t>
      </w:r>
      <w:r>
        <w:t>après laquelle les parents peuvent exiger que dans cet</w:t>
      </w:r>
      <w:r w:rsidR="0065345F">
        <w:t xml:space="preserve"> </w:t>
      </w:r>
      <w:r>
        <w:t xml:space="preserve">enseignement soient respectées leurs convictions </w:t>
      </w:r>
      <w:r w:rsidR="0065345F">
        <w:t>religieuses</w:t>
      </w:r>
      <w:r>
        <w:t xml:space="preserve"> et</w:t>
      </w:r>
      <w:r w:rsidR="0065345F">
        <w:t xml:space="preserve"> </w:t>
      </w:r>
      <w:r>
        <w:t>philosophiques.</w:t>
      </w:r>
    </w:p>
    <w:p w:rsidR="003206D8" w:rsidRDefault="003206D8" w:rsidP="0065345F">
      <w:pPr>
        <w:pStyle w:val="OpiPara"/>
      </w:pPr>
      <w:r>
        <w:t>Puisqu</w:t>
      </w:r>
      <w:r w:rsidR="003848D0">
        <w:t>’</w:t>
      </w:r>
      <w:r>
        <w:t>en l</w:t>
      </w:r>
      <w:r w:rsidR="003848D0">
        <w:t>’</w:t>
      </w:r>
      <w:r>
        <w:t xml:space="preserve">espèce les requérants se </w:t>
      </w:r>
      <w:r w:rsidR="0065345F">
        <w:t xml:space="preserve">considèrent comme atteints dans </w:t>
      </w:r>
      <w:r>
        <w:t>leurs "convictions chrétiennes", nous pouvons laisser de côté la</w:t>
      </w:r>
      <w:r w:rsidR="0065345F">
        <w:t xml:space="preserve"> </w:t>
      </w:r>
      <w:r>
        <w:t>question de savoir dans quel sens doivent s</w:t>
      </w:r>
      <w:r w:rsidR="003848D0">
        <w:t>’</w:t>
      </w:r>
      <w:r>
        <w:t>entendre les termes</w:t>
      </w:r>
      <w:r w:rsidR="0065345F">
        <w:t xml:space="preserve"> </w:t>
      </w:r>
      <w:r>
        <w:t>"convictions philosophiques".</w:t>
      </w:r>
      <w:r w:rsidR="003848D0">
        <w:t xml:space="preserve"> </w:t>
      </w:r>
      <w:r>
        <w:t>Il nous suffit d</w:t>
      </w:r>
      <w:r w:rsidR="003848D0">
        <w:t>’</w:t>
      </w:r>
      <w:r>
        <w:t>examiner si le</w:t>
      </w:r>
      <w:r w:rsidR="0065345F">
        <w:t xml:space="preserve"> </w:t>
      </w:r>
      <w:r>
        <w:t>gouvernement mis en cause a respecté les convictions chrétiennes des</w:t>
      </w:r>
      <w:r w:rsidR="0065345F">
        <w:t xml:space="preserve"> </w:t>
      </w:r>
      <w:r>
        <w:t>parents en matière d</w:t>
      </w:r>
      <w:r w:rsidR="003848D0">
        <w:t>’</w:t>
      </w:r>
      <w:r>
        <w:t>éducation sexuelle.</w:t>
      </w:r>
    </w:p>
    <w:p w:rsidR="003206D8" w:rsidRDefault="003206D8" w:rsidP="0065345F">
      <w:pPr>
        <w:pStyle w:val="OpiPara"/>
      </w:pPr>
      <w:r>
        <w:t>Dans ce domaine, il est vrai, les ind</w:t>
      </w:r>
      <w:r w:rsidR="0065345F">
        <w:t xml:space="preserve">ications des requérants ne sont </w:t>
      </w:r>
      <w:r>
        <w:t>pas tout à fait précises.</w:t>
      </w:r>
      <w:r w:rsidR="003848D0">
        <w:t xml:space="preserve"> </w:t>
      </w:r>
      <w:r>
        <w:t>Leurs griefs sont pourtant suffisamment</w:t>
      </w:r>
      <w:r w:rsidR="0065345F">
        <w:t xml:space="preserve"> </w:t>
      </w:r>
      <w:r>
        <w:t>clairs pour montrer de quoi il s</w:t>
      </w:r>
      <w:r w:rsidR="003848D0">
        <w:t>’</w:t>
      </w:r>
      <w:r>
        <w:t>agit.</w:t>
      </w:r>
      <w:r w:rsidR="003848D0">
        <w:t xml:space="preserve"> </w:t>
      </w:r>
      <w:r>
        <w:t>En effet, les requérants</w:t>
      </w:r>
      <w:r w:rsidR="0065345F">
        <w:t xml:space="preserve"> </w:t>
      </w:r>
      <w:r>
        <w:t>s</w:t>
      </w:r>
      <w:r w:rsidR="003848D0">
        <w:t>’</w:t>
      </w:r>
      <w:r>
        <w:t>opposent à un enseignement "détaillé" et trop précoce dispensé par</w:t>
      </w:r>
      <w:r w:rsidR="0065345F">
        <w:t xml:space="preserve"> </w:t>
      </w:r>
      <w:r>
        <w:t>l</w:t>
      </w:r>
      <w:r w:rsidR="003848D0">
        <w:t>’</w:t>
      </w:r>
      <w:r w:rsidR="00ED5C28">
        <w:t>État</w:t>
      </w:r>
      <w:r>
        <w:t xml:space="preserve"> en matière sexuelle; ils soutiennent que le monopole de l</w:t>
      </w:r>
      <w:r w:rsidR="003848D0">
        <w:t>’</w:t>
      </w:r>
      <w:r w:rsidR="00ED5C28">
        <w:t>État</w:t>
      </w:r>
      <w:r w:rsidR="0065345F">
        <w:t xml:space="preserve"> </w:t>
      </w:r>
      <w:r>
        <w:t>dans le domaine de l</w:t>
      </w:r>
      <w:r w:rsidR="003848D0">
        <w:t>’</w:t>
      </w:r>
      <w:r>
        <w:t>éducation les prive de leur droit primordial</w:t>
      </w:r>
      <w:r w:rsidR="0065345F">
        <w:t xml:space="preserve"> </w:t>
      </w:r>
      <w:r>
        <w:t>"d</w:t>
      </w:r>
      <w:r w:rsidR="003848D0">
        <w:t>’</w:t>
      </w:r>
      <w:r>
        <w:t>assurer l</w:t>
      </w:r>
      <w:r w:rsidR="003848D0">
        <w:t>’</w:t>
      </w:r>
      <w:r>
        <w:t>éducation de leurs enfants conformément à leurs propres</w:t>
      </w:r>
      <w:r w:rsidR="0065345F">
        <w:t xml:space="preserve"> </w:t>
      </w:r>
      <w:r>
        <w:t>convictions religieuses".</w:t>
      </w:r>
      <w:r w:rsidR="003848D0">
        <w:t xml:space="preserve"> </w:t>
      </w:r>
      <w:r>
        <w:t>Cela nous prouve nettement qu</w:t>
      </w:r>
      <w:r w:rsidR="003848D0">
        <w:t>’</w:t>
      </w:r>
      <w:r>
        <w:t>ils fondent</w:t>
      </w:r>
      <w:r w:rsidR="0065345F">
        <w:t xml:space="preserve"> </w:t>
      </w:r>
      <w:r>
        <w:t>leur plainte sur une doctrine chrétienne bien établie d</w:t>
      </w:r>
      <w:r w:rsidR="003848D0">
        <w:t>’</w:t>
      </w:r>
      <w:r>
        <w:t>après laquelle</w:t>
      </w:r>
      <w:r w:rsidR="0065345F">
        <w:t xml:space="preserve"> </w:t>
      </w:r>
      <w:r>
        <w:t>tout ce qui touche la formation de la conscience des enfants,</w:t>
      </w:r>
      <w:r w:rsidR="0065345F">
        <w:t xml:space="preserve"> </w:t>
      </w:r>
      <w:r>
        <w:t>c</w:t>
      </w:r>
      <w:r w:rsidR="003848D0">
        <w:t>’</w:t>
      </w:r>
      <w:r>
        <w:t>est-à-dire leur orientation morale, incombe aux parents et, par</w:t>
      </w:r>
      <w:r w:rsidR="0065345F">
        <w:t xml:space="preserve"> </w:t>
      </w:r>
      <w:r>
        <w:t>conséquent, l</w:t>
      </w:r>
      <w:r w:rsidR="003848D0">
        <w:t>’</w:t>
      </w:r>
      <w:r w:rsidR="00ED5C28">
        <w:t>État</w:t>
      </w:r>
      <w:r>
        <w:t xml:space="preserve"> ne peut pas s</w:t>
      </w:r>
      <w:r w:rsidR="003848D0">
        <w:t>’</w:t>
      </w:r>
      <w:r>
        <w:t>interposer en la matière entre les</w:t>
      </w:r>
      <w:r w:rsidR="0065345F">
        <w:t xml:space="preserve"> </w:t>
      </w:r>
      <w:r>
        <w:t>parents et leurs enfants contre la volonté des premiers.</w:t>
      </w:r>
    </w:p>
    <w:p w:rsidR="003206D8" w:rsidRDefault="003206D8" w:rsidP="0065345F">
      <w:pPr>
        <w:pStyle w:val="OpiPara"/>
      </w:pPr>
      <w:r>
        <w:t>Les requérants adhèrent, il est vrai, à</w:t>
      </w:r>
      <w:r w:rsidR="0065345F">
        <w:t xml:space="preserve"> la même religion que la grande </w:t>
      </w:r>
      <w:r>
        <w:t>majorité du pays, mais ils appartiennent apparemment à un groupe plus</w:t>
      </w:r>
      <w:r w:rsidR="0065345F">
        <w:t xml:space="preserve"> </w:t>
      </w:r>
      <w:r>
        <w:t>fidèle à la tradition chrétienne que leurs compatriotes libéraux ou</w:t>
      </w:r>
      <w:r w:rsidR="0065345F">
        <w:t xml:space="preserve"> </w:t>
      </w:r>
      <w:r>
        <w:t>religieusement indifférents.</w:t>
      </w:r>
      <w:r w:rsidR="003848D0">
        <w:t xml:space="preserve"> </w:t>
      </w:r>
      <w:r>
        <w:t>Or comme tous les droits protégés par la</w:t>
      </w:r>
      <w:r w:rsidR="0065345F">
        <w:t xml:space="preserve"> </w:t>
      </w:r>
      <w:r>
        <w:t>Convention et ses Protocoles additionnels sont des droits individuels</w:t>
      </w:r>
      <w:r w:rsidR="0065345F">
        <w:t xml:space="preserve"> </w:t>
      </w:r>
      <w:r>
        <w:t>de l</w:t>
      </w:r>
      <w:r w:rsidR="003848D0">
        <w:t>’</w:t>
      </w:r>
      <w:r>
        <w:t>homme, la Cour n</w:t>
      </w:r>
      <w:r w:rsidR="003848D0">
        <w:t>’</w:t>
      </w:r>
      <w:r>
        <w:t>est pas appelée à rechercher si les droits des</w:t>
      </w:r>
      <w:r w:rsidR="0065345F">
        <w:t xml:space="preserve"> </w:t>
      </w:r>
      <w:r>
        <w:t>personnes appartenant à une confession déterminée sont violés ou non.</w:t>
      </w:r>
      <w:r w:rsidR="0065345F">
        <w:t xml:space="preserve"> </w:t>
      </w:r>
      <w:r>
        <w:t>Elle a uniquement l</w:t>
      </w:r>
      <w:r w:rsidR="003848D0">
        <w:t>’</w:t>
      </w:r>
      <w:r>
        <w:t>obligation de décider si, dans le cas présent, les</w:t>
      </w:r>
      <w:r w:rsidR="0065345F">
        <w:t xml:space="preserve"> </w:t>
      </w:r>
      <w:r>
        <w:t>droits des requérants ont été respectés ou non.</w:t>
      </w:r>
    </w:p>
    <w:p w:rsidR="003206D8" w:rsidRDefault="003206D8" w:rsidP="0065345F">
      <w:pPr>
        <w:pStyle w:val="OpiPara"/>
      </w:pPr>
      <w:r>
        <w:t>La question se pose donc de savoir s</w:t>
      </w:r>
      <w:r w:rsidR="0065345F">
        <w:t>i les parents dont il s</w:t>
      </w:r>
      <w:r w:rsidR="003848D0">
        <w:t>’</w:t>
      </w:r>
      <w:r w:rsidR="0065345F">
        <w:t xml:space="preserve">agit en </w:t>
      </w:r>
      <w:r>
        <w:t>l</w:t>
      </w:r>
      <w:r w:rsidR="003848D0">
        <w:t>’</w:t>
      </w:r>
      <w:r>
        <w:t>espèce peuvent s</w:t>
      </w:r>
      <w:r w:rsidR="003848D0">
        <w:t>’</w:t>
      </w:r>
      <w:r>
        <w:t>opposer, en vertu de l</w:t>
      </w:r>
      <w:r w:rsidR="003848D0">
        <w:t>’</w:t>
      </w:r>
      <w:r>
        <w:t>article 2 (art. (P1-2)</w:t>
      </w:r>
      <w:r w:rsidR="0065345F">
        <w:t xml:space="preserve"> </w:t>
      </w:r>
      <w:r>
        <w:t>cité plus haut, à une éducation sexuelle obligatoire dans une école</w:t>
      </w:r>
      <w:r w:rsidR="0065345F">
        <w:t xml:space="preserve"> </w:t>
      </w:r>
      <w:r>
        <w:t>publique, même si, comme en l</w:t>
      </w:r>
      <w:r w:rsidR="003848D0">
        <w:t>’</w:t>
      </w:r>
      <w:r>
        <w:t>occurrence, elle ne constitue pas une</w:t>
      </w:r>
      <w:r w:rsidR="0065345F">
        <w:t xml:space="preserve"> </w:t>
      </w:r>
      <w:r>
        <w:t>tentative d</w:t>
      </w:r>
      <w:r w:rsidR="003848D0">
        <w:t>’</w:t>
      </w:r>
      <w:r>
        <w:t>endoctrinement.</w:t>
      </w:r>
    </w:p>
    <w:p w:rsidR="003206D8" w:rsidRDefault="003206D8" w:rsidP="00FA1F43">
      <w:pPr>
        <w:pStyle w:val="OpiPara"/>
      </w:pPr>
      <w:r>
        <w:t>Pour pouvoir répondre à cette quest</w:t>
      </w:r>
      <w:r w:rsidR="00FA1F43">
        <w:t xml:space="preserve">ion, il me semble nécessaire de </w:t>
      </w:r>
      <w:r>
        <w:t>distinguer entre les informations sur les faits de la sexualité</w:t>
      </w:r>
      <w:r w:rsidR="00FA1F43">
        <w:t xml:space="preserve"> </w:t>
      </w:r>
      <w:r>
        <w:t>humaine qui font l</w:t>
      </w:r>
      <w:r w:rsidR="003848D0">
        <w:t>’</w:t>
      </w:r>
      <w:r>
        <w:t>objet de la science naturelle, surtout de la</w:t>
      </w:r>
      <w:r w:rsidR="00FA1F43">
        <w:t xml:space="preserve"> </w:t>
      </w:r>
      <w:r>
        <w:t>biologie, d</w:t>
      </w:r>
      <w:r w:rsidR="003848D0">
        <w:t>’</w:t>
      </w:r>
      <w:r>
        <w:t>une part, et celles qui ont trait aux activités sexuelles,</w:t>
      </w:r>
      <w:r w:rsidR="00FA1F43">
        <w:t xml:space="preserve"> </w:t>
      </w:r>
      <w:r>
        <w:t>y compris la contraception, d</w:t>
      </w:r>
      <w:r w:rsidR="003848D0">
        <w:t>’</w:t>
      </w:r>
      <w:r>
        <w:t>autre part.</w:t>
      </w:r>
      <w:r w:rsidR="003848D0">
        <w:t xml:space="preserve"> </w:t>
      </w:r>
      <w:r>
        <w:t>Cette distinction s</w:t>
      </w:r>
      <w:r w:rsidR="003848D0">
        <w:t>’</w:t>
      </w:r>
      <w:r>
        <w:t>impose,</w:t>
      </w:r>
      <w:r w:rsidR="00FA1F43">
        <w:t xml:space="preserve"> </w:t>
      </w:r>
      <w:r>
        <w:t>à mon avis, par le fait que les premières ont un caractère neutre</w:t>
      </w:r>
      <w:r w:rsidR="00FA1F43">
        <w:t xml:space="preserve"> </w:t>
      </w:r>
      <w:r>
        <w:t>du point de vue de la moralité, tandis que les secondes, même si</w:t>
      </w:r>
      <w:r w:rsidR="00FA1F43">
        <w:t xml:space="preserve"> </w:t>
      </w:r>
      <w:r>
        <w:t>elles sont données à des mineurs d</w:t>
      </w:r>
      <w:r w:rsidR="003848D0">
        <w:t>’</w:t>
      </w:r>
      <w:r w:rsidR="00FA1F43">
        <w:t xml:space="preserve">une manière objective, touchent </w:t>
      </w:r>
      <w:r>
        <w:t>toujours la formation de leur conscience.</w:t>
      </w:r>
      <w:r w:rsidR="003848D0">
        <w:t xml:space="preserve"> </w:t>
      </w:r>
      <w:r>
        <w:t>Il s</w:t>
      </w:r>
      <w:r w:rsidR="003848D0">
        <w:t>’</w:t>
      </w:r>
      <w:r>
        <w:t>ensuit que même des</w:t>
      </w:r>
      <w:r w:rsidR="00FA1F43">
        <w:t xml:space="preserve"> </w:t>
      </w:r>
      <w:r>
        <w:t>informations objectives sur la pratique sexuelle données trop tôt dans</w:t>
      </w:r>
      <w:r w:rsidR="00FA1F43">
        <w:t xml:space="preserve"> </w:t>
      </w:r>
      <w:r>
        <w:t>une école peuvent violer les convictions chrétiennes des parents.</w:t>
      </w:r>
      <w:r w:rsidR="00FA1F43">
        <w:t xml:space="preserve"> </w:t>
      </w:r>
      <w:r>
        <w:t>Ceux-ci ont, dès lors, le droit de s</w:t>
      </w:r>
      <w:r w:rsidR="003848D0">
        <w:t>’</w:t>
      </w:r>
      <w:r>
        <w:t>y opposer.</w:t>
      </w:r>
    </w:p>
    <w:p w:rsidR="00B140E9" w:rsidRDefault="003206D8" w:rsidP="00B140E9">
      <w:pPr>
        <w:pStyle w:val="OpiPara"/>
      </w:pPr>
      <w:r>
        <w:t xml:space="preserve">Contre cette opinion, on ne peut </w:t>
      </w:r>
      <w:r w:rsidR="00B140E9">
        <w:t>invoquer l</w:t>
      </w:r>
      <w:r w:rsidR="003848D0">
        <w:t>’</w:t>
      </w:r>
      <w:r w:rsidR="00B140E9">
        <w:t xml:space="preserve">article 10 (art. 10) </w:t>
      </w:r>
      <w:r>
        <w:t>de la Convention qui consacre la liberté de toute personne de recevoir</w:t>
      </w:r>
      <w:r w:rsidR="00B140E9">
        <w:t xml:space="preserve"> </w:t>
      </w:r>
      <w:r>
        <w:t>et de communiquer des informations, car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</w:t>
      </w:r>
      <w:r w:rsidR="00B140E9">
        <w:t xml:space="preserve"> </w:t>
      </w:r>
      <w:r>
        <w:t>(P1-2) constitue une règle spéciale qui déroge au principe général de</w:t>
      </w:r>
      <w:r w:rsidR="00B140E9">
        <w:t xml:space="preserve"> </w:t>
      </w:r>
      <w:r>
        <w:t>l</w:t>
      </w:r>
      <w:r w:rsidR="003848D0">
        <w:t>’</w:t>
      </w:r>
      <w:r>
        <w:t>article 10 (art. 10) de la Convention.</w:t>
      </w:r>
      <w:r w:rsidR="003848D0">
        <w:t xml:space="preserve"> </w:t>
      </w:r>
      <w:r>
        <w:t>L</w:t>
      </w:r>
      <w:r w:rsidR="003848D0">
        <w:t>’</w:t>
      </w:r>
      <w:r>
        <w:t>article 2 dudit Protocole</w:t>
      </w:r>
      <w:r w:rsidR="00B140E9">
        <w:t xml:space="preserve"> </w:t>
      </w:r>
      <w:r>
        <w:t>(P1-2) reconnaît donc aux parents le droit de restreindre la liberté</w:t>
      </w:r>
      <w:r w:rsidR="00B140E9">
        <w:t xml:space="preserve"> </w:t>
      </w:r>
      <w:r>
        <w:t>des informations à donner à leurs enfants mineurs et touchant la</w:t>
      </w:r>
      <w:r w:rsidR="00B140E9">
        <w:t xml:space="preserve"> </w:t>
      </w:r>
      <w:r>
        <w:t>formation de la conscience de ces derniers.</w:t>
      </w:r>
    </w:p>
    <w:p w:rsidR="003206D8" w:rsidRDefault="003206D8" w:rsidP="00B140E9">
      <w:pPr>
        <w:pStyle w:val="OpiPara"/>
      </w:pPr>
      <w:r>
        <w:t>D</w:t>
      </w:r>
      <w:r w:rsidR="003848D0">
        <w:t>’</w:t>
      </w:r>
      <w:r>
        <w:t>après l</w:t>
      </w:r>
      <w:r w:rsidR="003848D0">
        <w:t>’</w:t>
      </w:r>
      <w:r>
        <w:t>arrêt, il est vrai, la clause précitée de l</w:t>
      </w:r>
      <w:r w:rsidR="003848D0">
        <w:t>’</w:t>
      </w:r>
      <w:r>
        <w:t>article 2</w:t>
      </w:r>
      <w:r w:rsidR="00B140E9">
        <w:t xml:space="preserve"> </w:t>
      </w:r>
      <w:r>
        <w:t>(P1-2) interdit uniquement une instru</w:t>
      </w:r>
      <w:r w:rsidR="00B140E9">
        <w:t xml:space="preserve">ction dispensée dans le dessein </w:t>
      </w:r>
      <w:r>
        <w:t>d</w:t>
      </w:r>
      <w:r w:rsidR="003848D0">
        <w:t>’</w:t>
      </w:r>
      <w:r>
        <w:t>endoctriner.</w:t>
      </w:r>
      <w:r w:rsidR="003848D0">
        <w:t xml:space="preserve"> </w:t>
      </w:r>
      <w:r>
        <w:t>Or elle ne fournit aucun indice autorisant pareille</w:t>
      </w:r>
      <w:r w:rsidR="00B140E9">
        <w:t xml:space="preserve"> </w:t>
      </w:r>
      <w:r>
        <w:t>interprétation restrictive.</w:t>
      </w:r>
      <w:r w:rsidR="003848D0">
        <w:t xml:space="preserve"> </w:t>
      </w:r>
      <w:r>
        <w:t xml:space="preserve">Bien au contraire, elle oblige les </w:t>
      </w:r>
      <w:r w:rsidR="00ED5C28">
        <w:t>État</w:t>
      </w:r>
      <w:r>
        <w:t>s,</w:t>
      </w:r>
      <w:r w:rsidR="00B140E9">
        <w:t xml:space="preserve"> </w:t>
      </w:r>
      <w:r>
        <w:t>d</w:t>
      </w:r>
      <w:r w:rsidR="003848D0">
        <w:t>’</w:t>
      </w:r>
      <w:r>
        <w:t>une manière absolue, à respecter les convictions religieuses et</w:t>
      </w:r>
      <w:r w:rsidR="00B140E9">
        <w:t xml:space="preserve"> </w:t>
      </w:r>
      <w:r>
        <w:t>philosophiques des parents; elle ne distingue point entre les</w:t>
      </w:r>
      <w:r w:rsidR="00B140E9">
        <w:t xml:space="preserve"> </w:t>
      </w:r>
      <w:r>
        <w:t>différentes intentions dans lesquelles est donnée l</w:t>
      </w:r>
      <w:r w:rsidR="003848D0">
        <w:t>’</w:t>
      </w:r>
      <w:r>
        <w:t>instruction.</w:t>
      </w:r>
      <w:r w:rsidR="00B140E9">
        <w:t xml:space="preserve"> </w:t>
      </w:r>
      <w:r>
        <w:t>Comme les requérants s</w:t>
      </w:r>
      <w:r w:rsidR="003848D0">
        <w:t>’</w:t>
      </w:r>
      <w:r>
        <w:t>estiment atteints "dans leurs convictions</w:t>
      </w:r>
      <w:r w:rsidR="00B140E9">
        <w:t xml:space="preserve"> </w:t>
      </w:r>
      <w:r>
        <w:t>chrétiennes" par l</w:t>
      </w:r>
      <w:r w:rsidR="003848D0">
        <w:t>’</w:t>
      </w:r>
      <w:r>
        <w:t>obligation imposée à leurs enfants de participer à</w:t>
      </w:r>
      <w:r w:rsidR="00B140E9">
        <w:t xml:space="preserve"> </w:t>
      </w:r>
      <w:r>
        <w:t>un enseignement "détaillé" en matière sexuelle, la Cour aurait dû se</w:t>
      </w:r>
      <w:r w:rsidR="00B140E9">
        <w:t xml:space="preserve"> </w:t>
      </w:r>
      <w:r>
        <w:t>borner à rechercher, en cas de doute, si ce grief cadrait ou non avec</w:t>
      </w:r>
      <w:r w:rsidR="00B140E9">
        <w:t xml:space="preserve"> </w:t>
      </w:r>
      <w:r>
        <w:t>la doctrine professée par les requérants.</w:t>
      </w:r>
    </w:p>
    <w:p w:rsidR="003206D8" w:rsidRDefault="003206D8" w:rsidP="00B140E9">
      <w:pPr>
        <w:pStyle w:val="OpiPara"/>
      </w:pPr>
      <w:r>
        <w:t xml:space="preserve">Dans ce domaine, le pouvoir de la Cour </w:t>
      </w:r>
      <w:r w:rsidR="00B140E9">
        <w:t xml:space="preserve">me paraît semblable à celui des </w:t>
      </w:r>
      <w:r>
        <w:t>commissions chargées, dans divers pays, de contrôler la véracité des</w:t>
      </w:r>
      <w:r w:rsidR="00B140E9">
        <w:t xml:space="preserve"> </w:t>
      </w:r>
      <w:r>
        <w:t>déclarations de personnes appelées au service militaire mais</w:t>
      </w:r>
      <w:r w:rsidR="00B140E9">
        <w:t xml:space="preserve"> </w:t>
      </w:r>
      <w:r>
        <w:t>prétendant que leur religion ou philosophie leur défend de porter des</w:t>
      </w:r>
      <w:r w:rsidR="00B140E9">
        <w:t xml:space="preserve"> </w:t>
      </w:r>
      <w:r>
        <w:t>armes (objecteurs de conscience): ces commissions doivent respecter</w:t>
      </w:r>
      <w:r w:rsidR="00B140E9">
        <w:t xml:space="preserve"> </w:t>
      </w:r>
      <w:r>
        <w:t>l</w:t>
      </w:r>
      <w:r w:rsidR="003848D0">
        <w:t>’</w:t>
      </w:r>
      <w:r>
        <w:t>idéologie des intéressés dès lors qu</w:t>
      </w:r>
      <w:r w:rsidR="003848D0">
        <w:t>’</w:t>
      </w:r>
      <w:r>
        <w:t>elle se trouve nettement</w:t>
      </w:r>
      <w:r w:rsidR="00B140E9">
        <w:t xml:space="preserve"> </w:t>
      </w:r>
      <w:r>
        <w:t>établie.</w:t>
      </w:r>
    </w:p>
    <w:p w:rsidR="003206D8" w:rsidRDefault="003206D8" w:rsidP="00B140E9">
      <w:pPr>
        <w:pStyle w:val="OpiPara"/>
      </w:pPr>
      <w:r>
        <w:t>La distinction entre les informa</w:t>
      </w:r>
      <w:r w:rsidR="00B140E9">
        <w:t xml:space="preserve">tions sur la connaissance de la </w:t>
      </w:r>
      <w:r>
        <w:t>sexualité de l</w:t>
      </w:r>
      <w:r w:rsidR="003848D0">
        <w:t>’</w:t>
      </w:r>
      <w:r>
        <w:t>homme en général et celles qui ont trait aux activités</w:t>
      </w:r>
      <w:r w:rsidR="00B140E9">
        <w:t xml:space="preserve"> </w:t>
      </w:r>
      <w:r>
        <w:t>sexuelles est reconnue par le législateur danois lui-même: s</w:t>
      </w:r>
      <w:r w:rsidR="003848D0">
        <w:t>’</w:t>
      </w:r>
      <w:r>
        <w:t>il</w:t>
      </w:r>
      <w:r w:rsidR="00B140E9">
        <w:t xml:space="preserve"> </w:t>
      </w:r>
      <w:r>
        <w:t>astreint les écoles privées à inclure dans leurs programmes un cours</w:t>
      </w:r>
      <w:r w:rsidR="00B140E9">
        <w:t xml:space="preserve"> </w:t>
      </w:r>
      <w:r>
        <w:t>de biologie sur la reproduction chez l</w:t>
      </w:r>
      <w:r w:rsidR="003848D0">
        <w:t>’</w:t>
      </w:r>
      <w:r>
        <w:t>homme, il leur laisse la</w:t>
      </w:r>
      <w:r w:rsidR="00B140E9">
        <w:t xml:space="preserve"> </w:t>
      </w:r>
      <w:r>
        <w:t>liberté de se conformer ou non aux autres règles obligatoires pour les</w:t>
      </w:r>
      <w:r w:rsidR="00B140E9">
        <w:t xml:space="preserve"> </w:t>
      </w:r>
      <w:r>
        <w:t>écoles publiques en matière sexuelle.</w:t>
      </w:r>
      <w:r w:rsidR="003848D0">
        <w:t xml:space="preserve"> </w:t>
      </w:r>
      <w:r>
        <w:t>Le législateur lui-même admet</w:t>
      </w:r>
      <w:r w:rsidR="00B140E9">
        <w:t xml:space="preserve"> </w:t>
      </w:r>
      <w:r>
        <w:t>ainsi que les informations sur la pratique sexuelle peuvent être</w:t>
      </w:r>
      <w:r w:rsidR="00B140E9">
        <w:t xml:space="preserve"> </w:t>
      </w:r>
      <w:r>
        <w:t>séparées des autres informations en la matière et que, par conséquent,</w:t>
      </w:r>
      <w:r w:rsidR="00B140E9">
        <w:t xml:space="preserve"> </w:t>
      </w:r>
      <w:r>
        <w:t>une dispense accordée aux enfants pour le cours concret de la première</w:t>
      </w:r>
      <w:r w:rsidR="00B140E9">
        <w:t xml:space="preserve"> </w:t>
      </w:r>
      <w:r>
        <w:t>catégorie n</w:t>
      </w:r>
      <w:r w:rsidR="003848D0">
        <w:t>’</w:t>
      </w:r>
      <w:r>
        <w:t>empêche pas d</w:t>
      </w:r>
      <w:r w:rsidR="003848D0">
        <w:t>’</w:t>
      </w:r>
      <w:r>
        <w:t>intégrer dans le système scolaire les</w:t>
      </w:r>
      <w:r w:rsidR="00B140E9">
        <w:t xml:space="preserve"> </w:t>
      </w:r>
      <w:r>
        <w:t>connaissances scientifiques en la matière.</w:t>
      </w:r>
    </w:p>
    <w:p w:rsidR="003206D8" w:rsidRDefault="003206D8" w:rsidP="00B140E9">
      <w:pPr>
        <w:pStyle w:val="OpiPara"/>
      </w:pPr>
      <w:r>
        <w:t>Or la loi danoise sur les écoles p</w:t>
      </w:r>
      <w:r w:rsidR="00B140E9">
        <w:t>ubliques n</w:t>
      </w:r>
      <w:r w:rsidR="003848D0">
        <w:t>’</w:t>
      </w:r>
      <w:r w:rsidR="00B140E9">
        <w:t xml:space="preserve">exempte nullement de </w:t>
      </w:r>
      <w:r>
        <w:t>l</w:t>
      </w:r>
      <w:r w:rsidR="003848D0">
        <w:t>’</w:t>
      </w:r>
      <w:r>
        <w:t>obligation d</w:t>
      </w:r>
      <w:r w:rsidR="003848D0">
        <w:t>’</w:t>
      </w:r>
      <w:r>
        <w:t>assister à l</w:t>
      </w:r>
      <w:r w:rsidR="003848D0">
        <w:t>’</w:t>
      </w:r>
      <w:r>
        <w:t>ensemble des cours d</w:t>
      </w:r>
      <w:r w:rsidR="003848D0">
        <w:t>’</w:t>
      </w:r>
      <w:r>
        <w:t>éducation sexuelle</w:t>
      </w:r>
      <w:r w:rsidR="00B140E9">
        <w:t xml:space="preserve"> </w:t>
      </w:r>
      <w:r>
        <w:t>les enfants des parents ayant une convi</w:t>
      </w:r>
      <w:r w:rsidR="00B140E9">
        <w:t xml:space="preserve">ction religieuse non conforme à </w:t>
      </w:r>
      <w:r>
        <w:t>celle du législateur.</w:t>
      </w:r>
      <w:r w:rsidR="003848D0">
        <w:t xml:space="preserve"> </w:t>
      </w:r>
      <w:r>
        <w:t>Partant, la conclusion s</w:t>
      </w:r>
      <w:r w:rsidR="003848D0">
        <w:t>’</w:t>
      </w:r>
      <w:r>
        <w:t>impose que la loi</w:t>
      </w:r>
      <w:r w:rsidR="00B140E9">
        <w:t xml:space="preserve"> </w:t>
      </w:r>
      <w:r>
        <w:t>danoise, dans les limites indiquées plus haut, n</w:t>
      </w:r>
      <w:r w:rsidR="003848D0">
        <w:t>’</w:t>
      </w:r>
      <w:r>
        <w:t>est pas en harmonie</w:t>
      </w:r>
      <w:r w:rsidR="00B140E9">
        <w:t xml:space="preserve"> </w:t>
      </w:r>
      <w:r>
        <w:t>avec la seconde phrase de l</w:t>
      </w:r>
      <w:r w:rsidR="003848D0">
        <w:t>’</w:t>
      </w:r>
      <w:r>
        <w:t>article 2 du Protocole n</w:t>
      </w:r>
      <w:r w:rsidR="003848D0" w:rsidRPr="003848D0">
        <w:rPr>
          <w:vertAlign w:val="superscript"/>
        </w:rPr>
        <w:t>o</w:t>
      </w:r>
      <w:r>
        <w:t xml:space="preserve"> 1 (P1-2).</w:t>
      </w:r>
    </w:p>
    <w:p w:rsidR="008B4E44" w:rsidRPr="003206D8" w:rsidRDefault="003206D8" w:rsidP="00B140E9">
      <w:pPr>
        <w:pStyle w:val="OpiPara"/>
      </w:pPr>
      <w:r>
        <w:t>Cette conclusion n</w:t>
      </w:r>
      <w:r w:rsidR="003848D0">
        <w:t>’</w:t>
      </w:r>
      <w:r>
        <w:t>est pas ébranlée pa</w:t>
      </w:r>
      <w:r w:rsidR="00B140E9">
        <w:t xml:space="preserve">r la faculté donnée aux parents </w:t>
      </w:r>
      <w:r>
        <w:t xml:space="preserve">de confier </w:t>
      </w:r>
      <w:r w:rsidR="000544F6">
        <w:t>leurs enfants</w:t>
      </w:r>
      <w:r>
        <w:t xml:space="preserve"> à une école privée subventionnée par l</w:t>
      </w:r>
      <w:r w:rsidR="003848D0">
        <w:t>’</w:t>
      </w:r>
      <w:r w:rsidR="00ED5C28">
        <w:t>État</w:t>
      </w:r>
      <w:r>
        <w:t xml:space="preserve"> ou</w:t>
      </w:r>
      <w:r w:rsidR="00B140E9">
        <w:t xml:space="preserve"> </w:t>
      </w:r>
      <w:r>
        <w:t>de les faire instruire à domicile.</w:t>
      </w:r>
      <w:r w:rsidR="003848D0">
        <w:t xml:space="preserve"> </w:t>
      </w:r>
      <w:r>
        <w:t>D</w:t>
      </w:r>
      <w:r w:rsidR="003848D0">
        <w:t>’</w:t>
      </w:r>
      <w:r>
        <w:t>une part, en effet, le droit des</w:t>
      </w:r>
      <w:r w:rsidR="00B140E9">
        <w:t xml:space="preserve"> </w:t>
      </w:r>
      <w:r>
        <w:t>parents est un droit strictement individuel tandis que la création</w:t>
      </w:r>
      <w:r w:rsidR="00B140E9">
        <w:t xml:space="preserve"> </w:t>
      </w:r>
      <w:r>
        <w:t>d</w:t>
      </w:r>
      <w:r w:rsidR="003848D0">
        <w:t>’</w:t>
      </w:r>
      <w:r>
        <w:t>une école privée suppose toujours l</w:t>
      </w:r>
      <w:r w:rsidR="003848D0">
        <w:t>’</w:t>
      </w:r>
      <w:r>
        <w:t>existence d</w:t>
      </w:r>
      <w:r w:rsidR="003848D0">
        <w:t>’</w:t>
      </w:r>
      <w:r>
        <w:t>un certain groupe de</w:t>
      </w:r>
      <w:r w:rsidR="00B140E9">
        <w:t xml:space="preserve"> </w:t>
      </w:r>
      <w:r>
        <w:t>personnes ayant une certaine conviction en commun.</w:t>
      </w:r>
      <w:r w:rsidR="003848D0">
        <w:t xml:space="preserve"> </w:t>
      </w:r>
      <w:r>
        <w:t>Comme l</w:t>
      </w:r>
      <w:r w:rsidR="003848D0">
        <w:t>’</w:t>
      </w:r>
      <w:r w:rsidR="00ED5C28">
        <w:t>État</w:t>
      </w:r>
      <w:r w:rsidR="00B140E9">
        <w:t xml:space="preserve"> </w:t>
      </w:r>
      <w:r>
        <w:t>devrait respecter les opinions religieuses des parents même s</w:t>
      </w:r>
      <w:r w:rsidR="003848D0">
        <w:t>’</w:t>
      </w:r>
      <w:r>
        <w:t>il</w:t>
      </w:r>
      <w:r w:rsidR="00B140E9">
        <w:t xml:space="preserve"> </w:t>
      </w:r>
      <w:r>
        <w:t>existait un seul couple dont les convictions, quant à la formation de</w:t>
      </w:r>
      <w:r w:rsidR="00B140E9">
        <w:t xml:space="preserve"> </w:t>
      </w:r>
      <w:r>
        <w:t>la conscience de leurs enfants mineurs, diffèrent de celles de la</w:t>
      </w:r>
      <w:r w:rsidR="00B140E9">
        <w:t xml:space="preserve"> </w:t>
      </w:r>
      <w:r>
        <w:t>majorité du pays ou d</w:t>
      </w:r>
      <w:r w:rsidR="003848D0">
        <w:t>’</w:t>
      </w:r>
      <w:r>
        <w:t>une école déterminée, il ne peut accomplir son</w:t>
      </w:r>
      <w:r w:rsidR="00B140E9">
        <w:t xml:space="preserve"> </w:t>
      </w:r>
      <w:r>
        <w:t>devoir en question qu</w:t>
      </w:r>
      <w:r w:rsidR="003848D0">
        <w:t>’</w:t>
      </w:r>
      <w:r>
        <w:t>en dispensant les enfants de suivre les cours</w:t>
      </w:r>
      <w:r w:rsidR="00B140E9">
        <w:t xml:space="preserve"> </w:t>
      </w:r>
      <w:r>
        <w:t>sur les activités sexuelles.</w:t>
      </w:r>
      <w:r w:rsidR="003848D0">
        <w:t xml:space="preserve"> </w:t>
      </w:r>
      <w:r>
        <w:t>D</w:t>
      </w:r>
      <w:r w:rsidR="003848D0">
        <w:t>’</w:t>
      </w:r>
      <w:r>
        <w:t>autre part, on ne peut pas méconnaître</w:t>
      </w:r>
      <w:r w:rsidR="00B140E9">
        <w:t xml:space="preserve"> </w:t>
      </w:r>
      <w:r>
        <w:t>que l</w:t>
      </w:r>
      <w:r w:rsidR="003848D0">
        <w:t>’</w:t>
      </w:r>
      <w:r>
        <w:t>instruction dans une école privée, même subventionnée par</w:t>
      </w:r>
      <w:r w:rsidR="00B140E9">
        <w:t xml:space="preserve"> </w:t>
      </w:r>
      <w:r>
        <w:t>l</w:t>
      </w:r>
      <w:r w:rsidR="003848D0">
        <w:t>’</w:t>
      </w:r>
      <w:r w:rsidR="00ED5C28">
        <w:t>État</w:t>
      </w:r>
      <w:r>
        <w:t>, et l</w:t>
      </w:r>
      <w:r w:rsidR="003848D0">
        <w:t>’</w:t>
      </w:r>
      <w:r>
        <w:t>enseignement à domicile entraînent toujours pour les</w:t>
      </w:r>
      <w:r w:rsidR="00B140E9">
        <w:t xml:space="preserve"> </w:t>
      </w:r>
      <w:r>
        <w:t>parents des sacrifices matériels.</w:t>
      </w:r>
      <w:r w:rsidR="003848D0">
        <w:t xml:space="preserve"> </w:t>
      </w:r>
      <w:r>
        <w:t>Si donc les requérants n</w:t>
      </w:r>
      <w:r w:rsidR="003848D0">
        <w:t>’</w:t>
      </w:r>
      <w:r>
        <w:t>avaient</w:t>
      </w:r>
      <w:r w:rsidR="00B140E9">
        <w:t xml:space="preserve"> </w:t>
      </w:r>
      <w:r>
        <w:t>pas la faculté de faire dispenser leurs enfants de suivre les cours en</w:t>
      </w:r>
      <w:r w:rsidR="00B140E9">
        <w:t xml:space="preserve"> </w:t>
      </w:r>
      <w:r>
        <w:t>question, il existerait à leur d</w:t>
      </w:r>
      <w:r w:rsidR="00B140E9">
        <w:t xml:space="preserve">étriment une discrimination non </w:t>
      </w:r>
      <w:r>
        <w:t>justifiée, interdite par l</w:t>
      </w:r>
      <w:r w:rsidR="003848D0">
        <w:t>’</w:t>
      </w:r>
      <w:r>
        <w:t>article 14 (art. 14) de la Convention,</w:t>
      </w:r>
      <w:r w:rsidR="00B140E9">
        <w:t xml:space="preserve"> </w:t>
      </w:r>
      <w:r>
        <w:t>par rapport aux parents dont les con</w:t>
      </w:r>
      <w:r w:rsidR="00B140E9">
        <w:t xml:space="preserve">victions religieuses et morales </w:t>
      </w:r>
      <w:r>
        <w:t>sont conformes à celles du législateur danois.</w:t>
      </w:r>
    </w:p>
    <w:sectPr w:rsidR="008B4E44" w:rsidRPr="003206D8" w:rsidSect="00447F73">
      <w:headerReference w:type="even" r:id="rId10"/>
      <w:headerReference w:type="default" r:id="rId11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C12">
      <w:r>
        <w:separator/>
      </w:r>
    </w:p>
  </w:endnote>
  <w:endnote w:type="continuationSeparator" w:id="0">
    <w:p w:rsidR="00000000" w:rsidRDefault="00F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34" w:rsidRDefault="00650734">
      <w:r>
        <w:separator/>
      </w:r>
    </w:p>
  </w:footnote>
  <w:footnote w:type="continuationSeparator" w:id="0">
    <w:p w:rsidR="00000000" w:rsidRDefault="00F0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34" w:rsidRDefault="00650734" w:rsidP="0044083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D0">
      <w:rPr>
        <w:rStyle w:val="PageNumber"/>
        <w:noProof/>
      </w:rPr>
      <w:t>26</w:t>
    </w:r>
    <w:r>
      <w:rPr>
        <w:rStyle w:val="PageNumber"/>
      </w:rPr>
      <w:fldChar w:fldCharType="end"/>
    </w:r>
  </w:p>
  <w:p w:rsidR="00650734" w:rsidRPr="00300C10" w:rsidRDefault="00650734" w:rsidP="00F80304">
    <w:pPr>
      <w:pStyle w:val="JuHeaderChar"/>
      <w:jc w:val="center"/>
      <w:rPr>
        <w:szCs w:val="24"/>
      </w:rPr>
    </w:pPr>
    <w:r w:rsidRPr="00D01FBA">
      <w:t>A</w:t>
    </w:r>
    <w:r>
      <w:t>RRÊT</w:t>
    </w:r>
    <w:r w:rsidRPr="00D01FBA">
      <w:t xml:space="preserve"> </w:t>
    </w:r>
    <w:r w:rsidRPr="00300C10">
      <w:t>KJELDSEN, BUSK MADSEN ET PEDERSEN c. DANEMARK</w:t>
    </w:r>
  </w:p>
  <w:p w:rsidR="00650734" w:rsidRDefault="00650734" w:rsidP="00BB4470">
    <w:pPr>
      <w:pStyle w:val="JuHeaderChar"/>
      <w:ind w:right="360" w:firstLine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34" w:rsidRDefault="00650734" w:rsidP="00FB502C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D0">
      <w:rPr>
        <w:rStyle w:val="PageNumber"/>
        <w:noProof/>
      </w:rPr>
      <w:t>23</w:t>
    </w:r>
    <w:r>
      <w:rPr>
        <w:rStyle w:val="PageNumber"/>
      </w:rPr>
      <w:fldChar w:fldCharType="end"/>
    </w:r>
  </w:p>
  <w:p w:rsidR="00650734" w:rsidRPr="00300C10" w:rsidRDefault="00650734" w:rsidP="00F80304">
    <w:pPr>
      <w:pStyle w:val="JuHeaderChar"/>
      <w:jc w:val="center"/>
      <w:rPr>
        <w:szCs w:val="24"/>
      </w:rPr>
    </w:pPr>
    <w:r w:rsidRPr="00D01FBA">
      <w:t>A</w:t>
    </w:r>
    <w:r>
      <w:t>RRÊT</w:t>
    </w:r>
    <w:r w:rsidRPr="00D01FBA">
      <w:t xml:space="preserve"> </w:t>
    </w:r>
    <w:r w:rsidRPr="00300C10">
      <w:t>KJELDSEN, BUSK MADSEN ET PEDERSEN c. DANEMARK</w:t>
    </w:r>
  </w:p>
  <w:p w:rsidR="00650734" w:rsidRDefault="00650734" w:rsidP="00EA0B2F">
    <w:pPr>
      <w:pStyle w:val="JuHeaderCha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34" w:rsidRDefault="00650734" w:rsidP="00E957AE">
    <w:pPr>
      <w:pStyle w:val="JuHeaderCha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650734" w:rsidRDefault="00650734" w:rsidP="00E957AE">
    <w:pPr>
      <w:pStyle w:val="JuHeaderChar"/>
      <w:ind w:right="360" w:firstLine="36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34" w:rsidRDefault="00650734" w:rsidP="00440838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D0">
      <w:rPr>
        <w:rStyle w:val="PageNumber"/>
        <w:noProof/>
      </w:rPr>
      <w:t>28</w:t>
    </w:r>
    <w:r>
      <w:rPr>
        <w:rStyle w:val="PageNumber"/>
      </w:rPr>
      <w:fldChar w:fldCharType="end"/>
    </w:r>
  </w:p>
  <w:p w:rsidR="00650734" w:rsidRPr="00300C10" w:rsidRDefault="00650734" w:rsidP="00F80304">
    <w:pPr>
      <w:pStyle w:val="JuHeaderChar"/>
      <w:jc w:val="center"/>
      <w:rPr>
        <w:szCs w:val="24"/>
      </w:rPr>
    </w:pPr>
    <w:r w:rsidRPr="00D01FBA">
      <w:t>A</w:t>
    </w:r>
    <w:r>
      <w:t>RRÊT</w:t>
    </w:r>
    <w:r w:rsidRPr="00D01FBA">
      <w:t xml:space="preserve"> </w:t>
    </w:r>
    <w:r w:rsidRPr="00300C10">
      <w:t>KJELDSEN, BUSK MADSEN ET PEDERSEN c. DANEMARK</w:t>
    </w:r>
  </w:p>
  <w:p w:rsidR="00650734" w:rsidRDefault="00650734" w:rsidP="0065345F">
    <w:pPr>
      <w:pStyle w:val="JuHeaderChar"/>
      <w:jc w:val="center"/>
    </w:pPr>
    <w:r>
      <w:t>OPINION SEPAREE DE M. LE JUGE VERDROSS</w:t>
    </w:r>
  </w:p>
  <w:p w:rsidR="00650734" w:rsidRDefault="00650734" w:rsidP="00BB4470">
    <w:pPr>
      <w:pStyle w:val="JuHeaderChar"/>
      <w:ind w:right="360" w:firstLine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34" w:rsidRDefault="00650734" w:rsidP="00FB502C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D0">
      <w:rPr>
        <w:rStyle w:val="PageNumber"/>
        <w:noProof/>
      </w:rPr>
      <w:t>29</w:t>
    </w:r>
    <w:r>
      <w:rPr>
        <w:rStyle w:val="PageNumber"/>
      </w:rPr>
      <w:fldChar w:fldCharType="end"/>
    </w:r>
  </w:p>
  <w:p w:rsidR="00650734" w:rsidRPr="00300C10" w:rsidRDefault="00650734" w:rsidP="00F80304">
    <w:pPr>
      <w:pStyle w:val="JuHeaderChar"/>
      <w:jc w:val="center"/>
      <w:rPr>
        <w:szCs w:val="24"/>
      </w:rPr>
    </w:pPr>
    <w:r w:rsidRPr="00D01FBA">
      <w:t>A</w:t>
    </w:r>
    <w:r>
      <w:t>RRÊT</w:t>
    </w:r>
    <w:r w:rsidRPr="00D01FBA">
      <w:t xml:space="preserve"> </w:t>
    </w:r>
    <w:r w:rsidRPr="00300C10">
      <w:t>KJELDSEN, BUSK MADSEN ET PEDERSEN c. DANEMARK</w:t>
    </w:r>
  </w:p>
  <w:p w:rsidR="00650734" w:rsidRDefault="00650734" w:rsidP="00447F73">
    <w:pPr>
      <w:pStyle w:val="JuHeaderChar"/>
      <w:jc w:val="center"/>
    </w:pPr>
    <w:r>
      <w:t>OPINION SEPAREE DE M. LE JUGE VERDROSS</w:t>
    </w:r>
  </w:p>
  <w:p w:rsidR="00650734" w:rsidRDefault="00650734" w:rsidP="00EA0B2F">
    <w:pPr>
      <w:pStyle w:val="JuHeaderCha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3AD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7AA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C4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A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607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6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7"/>
  </w:num>
  <w:num w:numId="5">
    <w:abstractNumId w:val="35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25"/>
  </w:num>
  <w:num w:numId="15">
    <w:abstractNumId w:val="30"/>
  </w:num>
  <w:num w:numId="16">
    <w:abstractNumId w:val="18"/>
  </w:num>
  <w:num w:numId="17">
    <w:abstractNumId w:val="26"/>
  </w:num>
  <w:num w:numId="18">
    <w:abstractNumId w:val="33"/>
  </w:num>
  <w:num w:numId="19">
    <w:abstractNumId w:val="31"/>
  </w:num>
  <w:num w:numId="20">
    <w:abstractNumId w:val="16"/>
  </w:num>
  <w:num w:numId="21">
    <w:abstractNumId w:val="28"/>
  </w:num>
  <w:num w:numId="22">
    <w:abstractNumId w:val="21"/>
  </w:num>
  <w:num w:numId="23">
    <w:abstractNumId w:val="23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4"/>
  </w:num>
  <w:num w:numId="29">
    <w:abstractNumId w:val="22"/>
  </w:num>
  <w:num w:numId="30">
    <w:abstractNumId w:val="19"/>
  </w:num>
  <w:num w:numId="31">
    <w:abstractNumId w:val="12"/>
  </w:num>
  <w:num w:numId="32">
    <w:abstractNumId w:val="5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activeWritingStyle w:appName="MSWord" w:lang="fr-FR" w:vendorID="9" w:dllVersion="512" w:checkStyle="1"/>
  <w:activeWritingStyle w:appName="MSWord" w:lang="en-GB" w:vendorID="8" w:dllVersion="513" w:checkStyle="1"/>
  <w:activeWritingStyle w:appName="MSWord" w:lang="it-IT" w:vendorID="3" w:dllVersion="517" w:checkStyle="1"/>
  <w:activeWritingStyle w:appName="MSWord" w:lang="sv-SE" w:vendorID="0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48B"/>
    <w:rsid w:val="0000322D"/>
    <w:rsid w:val="00004DAA"/>
    <w:rsid w:val="00005246"/>
    <w:rsid w:val="00016FDA"/>
    <w:rsid w:val="00023375"/>
    <w:rsid w:val="000370E3"/>
    <w:rsid w:val="000477A5"/>
    <w:rsid w:val="0004798B"/>
    <w:rsid w:val="000516F3"/>
    <w:rsid w:val="000544F6"/>
    <w:rsid w:val="00057DBC"/>
    <w:rsid w:val="000740F4"/>
    <w:rsid w:val="00074EFF"/>
    <w:rsid w:val="00077592"/>
    <w:rsid w:val="000855B8"/>
    <w:rsid w:val="00086534"/>
    <w:rsid w:val="000B352F"/>
    <w:rsid w:val="000E2A63"/>
    <w:rsid w:val="00100E2B"/>
    <w:rsid w:val="0010179F"/>
    <w:rsid w:val="0012316A"/>
    <w:rsid w:val="0015773B"/>
    <w:rsid w:val="00170BE6"/>
    <w:rsid w:val="00174E6E"/>
    <w:rsid w:val="00181084"/>
    <w:rsid w:val="001819E6"/>
    <w:rsid w:val="00181D00"/>
    <w:rsid w:val="001A2A55"/>
    <w:rsid w:val="001B088B"/>
    <w:rsid w:val="001B2AA6"/>
    <w:rsid w:val="001B74E8"/>
    <w:rsid w:val="001B76FA"/>
    <w:rsid w:val="001C0618"/>
    <w:rsid w:val="001F0C50"/>
    <w:rsid w:val="001F6987"/>
    <w:rsid w:val="0020188F"/>
    <w:rsid w:val="00207889"/>
    <w:rsid w:val="00210E77"/>
    <w:rsid w:val="00213084"/>
    <w:rsid w:val="0021329B"/>
    <w:rsid w:val="0021486F"/>
    <w:rsid w:val="002257C3"/>
    <w:rsid w:val="00231CCF"/>
    <w:rsid w:val="002353B4"/>
    <w:rsid w:val="002358C8"/>
    <w:rsid w:val="00236CD5"/>
    <w:rsid w:val="002675CA"/>
    <w:rsid w:val="00271119"/>
    <w:rsid w:val="00273CD0"/>
    <w:rsid w:val="00277775"/>
    <w:rsid w:val="0028120A"/>
    <w:rsid w:val="00282AC8"/>
    <w:rsid w:val="00287A96"/>
    <w:rsid w:val="002D231D"/>
    <w:rsid w:val="002F29CE"/>
    <w:rsid w:val="002F6B97"/>
    <w:rsid w:val="002F6C54"/>
    <w:rsid w:val="00300C10"/>
    <w:rsid w:val="00303844"/>
    <w:rsid w:val="003206D8"/>
    <w:rsid w:val="00323FB1"/>
    <w:rsid w:val="00340F3F"/>
    <w:rsid w:val="003459EE"/>
    <w:rsid w:val="003624EA"/>
    <w:rsid w:val="003708A1"/>
    <w:rsid w:val="00376AFC"/>
    <w:rsid w:val="00380DBC"/>
    <w:rsid w:val="003842E8"/>
    <w:rsid w:val="003848D0"/>
    <w:rsid w:val="003A2BF1"/>
    <w:rsid w:val="003B4CBF"/>
    <w:rsid w:val="003B5923"/>
    <w:rsid w:val="003E65CE"/>
    <w:rsid w:val="003E7588"/>
    <w:rsid w:val="003F16B4"/>
    <w:rsid w:val="003F6BD6"/>
    <w:rsid w:val="00404064"/>
    <w:rsid w:val="0042457C"/>
    <w:rsid w:val="0043278B"/>
    <w:rsid w:val="00440838"/>
    <w:rsid w:val="00442584"/>
    <w:rsid w:val="00442FC9"/>
    <w:rsid w:val="00447F73"/>
    <w:rsid w:val="004615FA"/>
    <w:rsid w:val="0046621C"/>
    <w:rsid w:val="0047474A"/>
    <w:rsid w:val="00481B3A"/>
    <w:rsid w:val="00490688"/>
    <w:rsid w:val="00493747"/>
    <w:rsid w:val="004954CC"/>
    <w:rsid w:val="00495AC3"/>
    <w:rsid w:val="004A3482"/>
    <w:rsid w:val="004A4FA3"/>
    <w:rsid w:val="004B3ECA"/>
    <w:rsid w:val="004C028B"/>
    <w:rsid w:val="004C7C1F"/>
    <w:rsid w:val="004E6862"/>
    <w:rsid w:val="004F2540"/>
    <w:rsid w:val="004F4FAE"/>
    <w:rsid w:val="00542BA6"/>
    <w:rsid w:val="00543668"/>
    <w:rsid w:val="00555F83"/>
    <w:rsid w:val="0056698A"/>
    <w:rsid w:val="00566CDE"/>
    <w:rsid w:val="005710F1"/>
    <w:rsid w:val="00576F87"/>
    <w:rsid w:val="005B3614"/>
    <w:rsid w:val="005C10B3"/>
    <w:rsid w:val="005C1CC9"/>
    <w:rsid w:val="005D17BD"/>
    <w:rsid w:val="005E0018"/>
    <w:rsid w:val="005E29D6"/>
    <w:rsid w:val="005F1386"/>
    <w:rsid w:val="005F205A"/>
    <w:rsid w:val="005F43B0"/>
    <w:rsid w:val="005F52F4"/>
    <w:rsid w:val="006037FB"/>
    <w:rsid w:val="00605569"/>
    <w:rsid w:val="006110C5"/>
    <w:rsid w:val="0061175E"/>
    <w:rsid w:val="006232CD"/>
    <w:rsid w:val="0062406F"/>
    <w:rsid w:val="00625278"/>
    <w:rsid w:val="0063182C"/>
    <w:rsid w:val="00636576"/>
    <w:rsid w:val="00644221"/>
    <w:rsid w:val="00650734"/>
    <w:rsid w:val="0065345F"/>
    <w:rsid w:val="00656330"/>
    <w:rsid w:val="006602DE"/>
    <w:rsid w:val="00661859"/>
    <w:rsid w:val="0068058B"/>
    <w:rsid w:val="006930B9"/>
    <w:rsid w:val="006A71B8"/>
    <w:rsid w:val="006B0ECB"/>
    <w:rsid w:val="006C1911"/>
    <w:rsid w:val="006D5D03"/>
    <w:rsid w:val="006E1C5E"/>
    <w:rsid w:val="006E5CBA"/>
    <w:rsid w:val="00703967"/>
    <w:rsid w:val="00707732"/>
    <w:rsid w:val="007135AF"/>
    <w:rsid w:val="00734CCF"/>
    <w:rsid w:val="007457D9"/>
    <w:rsid w:val="0076400B"/>
    <w:rsid w:val="00765380"/>
    <w:rsid w:val="007747AB"/>
    <w:rsid w:val="00783F30"/>
    <w:rsid w:val="00796A23"/>
    <w:rsid w:val="007A5E36"/>
    <w:rsid w:val="007B1B73"/>
    <w:rsid w:val="007D1E8C"/>
    <w:rsid w:val="007F5F6F"/>
    <w:rsid w:val="008020A5"/>
    <w:rsid w:val="0080692F"/>
    <w:rsid w:val="00821206"/>
    <w:rsid w:val="00825314"/>
    <w:rsid w:val="00825FA1"/>
    <w:rsid w:val="00830815"/>
    <w:rsid w:val="00830A3A"/>
    <w:rsid w:val="00843A27"/>
    <w:rsid w:val="00850425"/>
    <w:rsid w:val="00856ED8"/>
    <w:rsid w:val="0086139A"/>
    <w:rsid w:val="00863F98"/>
    <w:rsid w:val="008766C8"/>
    <w:rsid w:val="00886677"/>
    <w:rsid w:val="0089326B"/>
    <w:rsid w:val="00894FC3"/>
    <w:rsid w:val="008B2D19"/>
    <w:rsid w:val="008B4E44"/>
    <w:rsid w:val="008C0CBB"/>
    <w:rsid w:val="008C738A"/>
    <w:rsid w:val="008D1A50"/>
    <w:rsid w:val="008D1CE8"/>
    <w:rsid w:val="008E7D77"/>
    <w:rsid w:val="008F1B04"/>
    <w:rsid w:val="009005BA"/>
    <w:rsid w:val="00900A31"/>
    <w:rsid w:val="00911919"/>
    <w:rsid w:val="0091493D"/>
    <w:rsid w:val="009209A5"/>
    <w:rsid w:val="00921C4F"/>
    <w:rsid w:val="00926E8B"/>
    <w:rsid w:val="009300A2"/>
    <w:rsid w:val="00943762"/>
    <w:rsid w:val="00947283"/>
    <w:rsid w:val="009537E1"/>
    <w:rsid w:val="00956F20"/>
    <w:rsid w:val="00965075"/>
    <w:rsid w:val="00967719"/>
    <w:rsid w:val="009712FB"/>
    <w:rsid w:val="0097343A"/>
    <w:rsid w:val="00977EB4"/>
    <w:rsid w:val="00991F32"/>
    <w:rsid w:val="009A1DD0"/>
    <w:rsid w:val="009A5556"/>
    <w:rsid w:val="009B3196"/>
    <w:rsid w:val="009B60FF"/>
    <w:rsid w:val="009C7616"/>
    <w:rsid w:val="009D4AF9"/>
    <w:rsid w:val="009D5E9E"/>
    <w:rsid w:val="009D740A"/>
    <w:rsid w:val="009D7483"/>
    <w:rsid w:val="009E13E2"/>
    <w:rsid w:val="009F130E"/>
    <w:rsid w:val="00A01039"/>
    <w:rsid w:val="00A20AC2"/>
    <w:rsid w:val="00A46014"/>
    <w:rsid w:val="00A47D9A"/>
    <w:rsid w:val="00A54152"/>
    <w:rsid w:val="00A805E3"/>
    <w:rsid w:val="00AB3E21"/>
    <w:rsid w:val="00AC05BA"/>
    <w:rsid w:val="00AC4FAC"/>
    <w:rsid w:val="00AC64E4"/>
    <w:rsid w:val="00AD2345"/>
    <w:rsid w:val="00AE0094"/>
    <w:rsid w:val="00AE3DBE"/>
    <w:rsid w:val="00AF03B0"/>
    <w:rsid w:val="00AF048B"/>
    <w:rsid w:val="00AF44F0"/>
    <w:rsid w:val="00AF66F2"/>
    <w:rsid w:val="00B060AC"/>
    <w:rsid w:val="00B06B80"/>
    <w:rsid w:val="00B140E9"/>
    <w:rsid w:val="00B21475"/>
    <w:rsid w:val="00B26387"/>
    <w:rsid w:val="00B41CC8"/>
    <w:rsid w:val="00B42FAB"/>
    <w:rsid w:val="00B46CA1"/>
    <w:rsid w:val="00B60425"/>
    <w:rsid w:val="00B63E11"/>
    <w:rsid w:val="00B707DC"/>
    <w:rsid w:val="00B95201"/>
    <w:rsid w:val="00BB077E"/>
    <w:rsid w:val="00BB4470"/>
    <w:rsid w:val="00BC55D4"/>
    <w:rsid w:val="00BD38B7"/>
    <w:rsid w:val="00BD5ADA"/>
    <w:rsid w:val="00BE589E"/>
    <w:rsid w:val="00BE642E"/>
    <w:rsid w:val="00BF73E9"/>
    <w:rsid w:val="00C0609F"/>
    <w:rsid w:val="00C076E2"/>
    <w:rsid w:val="00C1341A"/>
    <w:rsid w:val="00C15451"/>
    <w:rsid w:val="00C207E2"/>
    <w:rsid w:val="00C22515"/>
    <w:rsid w:val="00C32EEB"/>
    <w:rsid w:val="00C35E2A"/>
    <w:rsid w:val="00C43CCA"/>
    <w:rsid w:val="00C4485B"/>
    <w:rsid w:val="00C46BD1"/>
    <w:rsid w:val="00C619F8"/>
    <w:rsid w:val="00C65A3C"/>
    <w:rsid w:val="00C8294A"/>
    <w:rsid w:val="00C86B4F"/>
    <w:rsid w:val="00C96124"/>
    <w:rsid w:val="00C97955"/>
    <w:rsid w:val="00CA347D"/>
    <w:rsid w:val="00CB0AA6"/>
    <w:rsid w:val="00CB6F8B"/>
    <w:rsid w:val="00CD0DB4"/>
    <w:rsid w:val="00CD272B"/>
    <w:rsid w:val="00CF5C63"/>
    <w:rsid w:val="00D01FBA"/>
    <w:rsid w:val="00D053E8"/>
    <w:rsid w:val="00D10042"/>
    <w:rsid w:val="00D240DF"/>
    <w:rsid w:val="00D253F8"/>
    <w:rsid w:val="00D304E8"/>
    <w:rsid w:val="00D31A61"/>
    <w:rsid w:val="00D4449E"/>
    <w:rsid w:val="00D46926"/>
    <w:rsid w:val="00D5268E"/>
    <w:rsid w:val="00D52C61"/>
    <w:rsid w:val="00D56FC4"/>
    <w:rsid w:val="00D62432"/>
    <w:rsid w:val="00D649D6"/>
    <w:rsid w:val="00D65BCC"/>
    <w:rsid w:val="00D6600E"/>
    <w:rsid w:val="00D71E8A"/>
    <w:rsid w:val="00D80FF0"/>
    <w:rsid w:val="00D81CDF"/>
    <w:rsid w:val="00D9465A"/>
    <w:rsid w:val="00DA1408"/>
    <w:rsid w:val="00DA7EE1"/>
    <w:rsid w:val="00DF26BF"/>
    <w:rsid w:val="00E06E8B"/>
    <w:rsid w:val="00E237A6"/>
    <w:rsid w:val="00E34476"/>
    <w:rsid w:val="00E35A10"/>
    <w:rsid w:val="00E51D2F"/>
    <w:rsid w:val="00E62AA4"/>
    <w:rsid w:val="00E7114B"/>
    <w:rsid w:val="00E90436"/>
    <w:rsid w:val="00E957AE"/>
    <w:rsid w:val="00EA09D3"/>
    <w:rsid w:val="00EA0B2F"/>
    <w:rsid w:val="00EB1E77"/>
    <w:rsid w:val="00ED0576"/>
    <w:rsid w:val="00ED5C28"/>
    <w:rsid w:val="00ED7400"/>
    <w:rsid w:val="00EE1049"/>
    <w:rsid w:val="00EF175C"/>
    <w:rsid w:val="00EF215F"/>
    <w:rsid w:val="00F01A92"/>
    <w:rsid w:val="00F04A20"/>
    <w:rsid w:val="00F05C12"/>
    <w:rsid w:val="00F33A0E"/>
    <w:rsid w:val="00F3555A"/>
    <w:rsid w:val="00F3669A"/>
    <w:rsid w:val="00F80304"/>
    <w:rsid w:val="00F85B8D"/>
    <w:rsid w:val="00F91754"/>
    <w:rsid w:val="00F9177F"/>
    <w:rsid w:val="00F95592"/>
    <w:rsid w:val="00FA1F43"/>
    <w:rsid w:val="00FA38D7"/>
    <w:rsid w:val="00FA465D"/>
    <w:rsid w:val="00FB1419"/>
    <w:rsid w:val="00FB244C"/>
    <w:rsid w:val="00FB3A0F"/>
    <w:rsid w:val="00FB3CCF"/>
    <w:rsid w:val="00FB502C"/>
    <w:rsid w:val="00FC1E44"/>
    <w:rsid w:val="00FC746B"/>
    <w:rsid w:val="00FD1736"/>
    <w:rsid w:val="00FD20B1"/>
    <w:rsid w:val="00FD5A36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9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pPr>
      <w:ind w:firstLine="284"/>
    </w:pPr>
  </w:style>
  <w:style w:type="paragraph" w:customStyle="1" w:styleId="JuHIRoman">
    <w:name w:val="Ju_H_I_Roman"/>
    <w:basedOn w:val="JuHHead"/>
    <w:next w:val="JuPara"/>
    <w:pPr>
      <w:spacing w:before="360"/>
      <w:ind w:left="403" w:hanging="403"/>
    </w:pPr>
    <w:rPr>
      <w:sz w:val="24"/>
    </w:rPr>
  </w:style>
  <w:style w:type="paragraph" w:customStyle="1" w:styleId="JuHHead">
    <w:name w:val="Ju_H_Head"/>
    <w:basedOn w:val="Normal"/>
    <w:next w:val="JuPara"/>
    <w:pPr>
      <w:keepNext/>
      <w:keepLines/>
      <w:spacing w:before="720" w:after="240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autoRedefine/>
    <w:rsid w:val="00D10042"/>
    <w:pPr>
      <w:ind w:left="635"/>
      <w:jc w:val="center"/>
    </w:pPr>
    <w:rPr>
      <w:b/>
    </w:rPr>
  </w:style>
  <w:style w:type="paragraph" w:customStyle="1" w:styleId="JuQuot">
    <w:name w:val="Ju_Quot"/>
    <w:basedOn w:val="JuPara"/>
    <w:link w:val="JuQuotChar"/>
    <w:pPr>
      <w:tabs>
        <w:tab w:val="left" w:pos="851"/>
      </w:tabs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6930B9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</w:pPr>
  </w:style>
  <w:style w:type="paragraph" w:customStyle="1" w:styleId="JuHa0">
    <w:name w:val="Ju_H_a"/>
    <w:basedOn w:val="JuHA"/>
    <w:next w:val="JuPara"/>
    <w:pPr>
      <w:spacing w:before="240" w:after="120"/>
      <w:ind w:left="1038"/>
    </w:pPr>
    <w:rPr>
      <w:sz w:val="20"/>
    </w:rPr>
  </w:style>
  <w:style w:type="paragraph" w:customStyle="1" w:styleId="JuQuotList">
    <w:name w:val="Ju_Quot_List"/>
    <w:basedOn w:val="JuQuot"/>
    <w:pPr>
      <w:tabs>
        <w:tab w:val="clear" w:pos="851"/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rsid w:val="009D7483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rPr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autoRedefine/>
    <w:rsid w:val="00C619F8"/>
    <w:pPr>
      <w:spacing w:before="240" w:after="120"/>
      <w:ind w:left="834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ind w:left="1236"/>
    </w:pPr>
    <w:rPr>
      <w:b w:val="0"/>
      <w:i/>
    </w:rPr>
  </w:style>
  <w:style w:type="paragraph" w:styleId="Header">
    <w:name w:val="header"/>
    <w:basedOn w:val="Normal"/>
    <w:link w:val="HeaderChar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ind w:left="1441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ind w:left="1639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pPr>
      <w:tabs>
        <w:tab w:val="clear" w:pos="851"/>
        <w:tab w:val="clear" w:pos="6521"/>
      </w:tabs>
      <w:jc w:val="right"/>
    </w:pPr>
  </w:style>
  <w:style w:type="paragraph" w:customStyle="1" w:styleId="JuHeaderChar">
    <w:name w:val="Ju_Header Char"/>
    <w:basedOn w:val="Header"/>
    <w:link w:val="JuHeaderCharChar"/>
    <w:pPr>
      <w:jc w:val="left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keepNext/>
      <w:keepLines/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JuHHead"/>
    <w:next w:val="DecHCase"/>
    <w:pPr>
      <w:spacing w:before="0"/>
      <w:jc w:val="center"/>
    </w:p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JuList"/>
    <w:pPr>
      <w:spacing w:before="240"/>
      <w:ind w:left="284" w:firstLine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uppressAutoHyphens w:val="0"/>
    </w:pPr>
  </w:style>
  <w:style w:type="character" w:customStyle="1" w:styleId="HeaderChar">
    <w:name w:val="Header Char"/>
    <w:basedOn w:val="DefaultParagraphFont"/>
    <w:link w:val="Header"/>
    <w:rsid w:val="00277775"/>
    <w:rPr>
      <w:sz w:val="24"/>
      <w:lang w:val="fr-FR" w:eastAsia="fr-FR" w:bidi="ar-SA"/>
    </w:rPr>
  </w:style>
  <w:style w:type="character" w:customStyle="1" w:styleId="JuHeaderCharChar">
    <w:name w:val="Ju_Header Char Char"/>
    <w:basedOn w:val="HeaderChar"/>
    <w:link w:val="JuHeaderChar"/>
    <w:rsid w:val="00277775"/>
    <w:rPr>
      <w:sz w:val="18"/>
      <w:lang w:val="fr-FR" w:eastAsia="fr-FR" w:bidi="ar-SA"/>
    </w:rPr>
  </w:style>
  <w:style w:type="character" w:customStyle="1" w:styleId="JuJudgesChar">
    <w:name w:val="Ju_Judges Char"/>
    <w:basedOn w:val="DefaultParagraphFont"/>
    <w:link w:val="JuJudges"/>
    <w:rsid w:val="005C10B3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6930B9"/>
    <w:rPr>
      <w:sz w:val="24"/>
      <w:lang w:val="fr-FR" w:eastAsia="fr-FR" w:bidi="ar-SA"/>
    </w:rPr>
  </w:style>
  <w:style w:type="character" w:customStyle="1" w:styleId="JuQuotChar">
    <w:name w:val="Ju_Quot Char"/>
    <w:basedOn w:val="JuParaChar"/>
    <w:link w:val="JuQuot"/>
    <w:rsid w:val="006930B9"/>
    <w:rPr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6A71B8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181084"/>
    <w:rPr>
      <w:sz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rsid w:val="00E51D2F"/>
    <w:rPr>
      <w:sz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4F2B9-5FC9-447A-BC68-B9B0716CCECB}"/>
</file>

<file path=customXml/itemProps2.xml><?xml version="1.0" encoding="utf-8"?>
<ds:datastoreItem xmlns:ds="http://schemas.openxmlformats.org/officeDocument/2006/customXml" ds:itemID="{0DBE00CF-CD23-4F4A-AA8F-A9100A6E9228}"/>
</file>

<file path=customXml/itemProps3.xml><?xml version="1.0" encoding="utf-8"?>
<ds:datastoreItem xmlns:ds="http://schemas.openxmlformats.org/officeDocument/2006/customXml" ds:itemID="{2515CDD3-0ADC-470E-84D5-2B65B8264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11715</Words>
  <Characters>66777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période transitoire</dc:subject>
  <dc:creator>AEBY</dc:creator>
  <cp:keywords/>
  <cp:lastModifiedBy/>
  <cp:revision>7</cp:revision>
  <cp:lastPrinted>2001-05-02T13:47:00Z</cp:lastPrinted>
  <dcterms:created xsi:type="dcterms:W3CDTF">2015-07-21T09:07:00Z</dcterms:created>
  <dcterms:modified xsi:type="dcterms:W3CDTF">2015-07-21T09:07:00Z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