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968" w:rsidRDefault="00EE4C61">
      <w:pPr>
        <w:spacing w:before="40" w:after="40" w:line="264" w:lineRule="auto"/>
        <w:jc w:val="both"/>
        <w:rPr>
          <w:sz w:val="24"/>
          <w:lang w:val="it-IT"/>
        </w:rPr>
      </w:pPr>
      <w:r>
        <w:rPr>
          <w:sz w:val="24"/>
          <w:lang w:val="it-IT"/>
        </w:rPr>
        <w:t>Leggere questo riassunto commentato e rispondere, in italiano e con buona calligrafia, alle domande di sotto.</w:t>
      </w:r>
    </w:p>
    <w:p w:rsidR="00A41968" w:rsidRPr="001E671F" w:rsidRDefault="002327BD">
      <w:pPr>
        <w:spacing w:before="40" w:after="40" w:line="264" w:lineRule="auto"/>
        <w:jc w:val="both"/>
        <w:rPr>
          <w:rFonts w:eastAsia="Times New Roman" w:cs="Times New Roman"/>
          <w:sz w:val="24"/>
          <w:lang w:val="it-IT"/>
        </w:rPr>
      </w:pPr>
      <w:r>
        <w:rPr>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3pt;height:85.8pt;mso-position-horizontal-relative:char;mso-position-vertical-relative:line">
            <v:imagedata r:id="rId6" o:title=""/>
          </v:shape>
        </w:pict>
      </w:r>
    </w:p>
    <w:p w:rsidR="00A41968" w:rsidRDefault="00EE4C61">
      <w:pPr>
        <w:spacing w:before="40" w:after="40" w:line="264" w:lineRule="auto"/>
        <w:jc w:val="right"/>
        <w:rPr>
          <w:rFonts w:eastAsia="Arial" w:cs="Arial"/>
          <w:sz w:val="24"/>
          <w:lang w:val="it-IT"/>
        </w:rPr>
      </w:pPr>
      <w:r>
        <w:rPr>
          <w:rFonts w:eastAsia="Arial" w:cs="Arial"/>
          <w:b/>
          <w:bCs/>
          <w:color w:val="13527D"/>
          <w:sz w:val="24"/>
          <w:lang w:val="it-IT"/>
        </w:rPr>
        <w:t>Una sentenza storica per gli obiettori di coscienza</w:t>
      </w:r>
    </w:p>
    <w:p w:rsidR="00A41968" w:rsidRDefault="00EE4C61">
      <w:pPr>
        <w:spacing w:before="40" w:after="40" w:line="264" w:lineRule="auto"/>
        <w:jc w:val="right"/>
        <w:rPr>
          <w:rFonts w:eastAsia="Arial" w:cs="Arial"/>
          <w:sz w:val="24"/>
          <w:lang w:val="it-IT"/>
        </w:rPr>
      </w:pPr>
      <w:r>
        <w:rPr>
          <w:rFonts w:eastAsia="Arial" w:cs="Arial"/>
          <w:b/>
          <w:bCs/>
          <w:color w:val="13527D"/>
          <w:sz w:val="24"/>
          <w:lang w:val="it-IT"/>
        </w:rPr>
        <w:t>di Gianfranco Amato</w:t>
      </w:r>
    </w:p>
    <w:p w:rsidR="00A41968" w:rsidRDefault="00EE4C61">
      <w:pPr>
        <w:spacing w:before="40" w:after="40" w:line="264" w:lineRule="auto"/>
        <w:jc w:val="both"/>
        <w:rPr>
          <w:rFonts w:eastAsia="Arial" w:cs="Arial"/>
          <w:sz w:val="24"/>
          <w:lang w:val="it-IT"/>
        </w:rPr>
      </w:pPr>
      <w:r>
        <w:rPr>
          <w:rFonts w:eastAsia="Arial" w:cs="Arial"/>
          <w:b/>
          <w:bCs/>
          <w:w w:val="103"/>
          <w:sz w:val="24"/>
          <w:lang w:val="it-IT"/>
        </w:rPr>
        <w:t>28-05-2013</w:t>
      </w:r>
      <w:r w:rsidR="00392AB9">
        <w:rPr>
          <w:rFonts w:eastAsia="Arial" w:cs="Arial"/>
          <w:b/>
          <w:bCs/>
          <w:w w:val="103"/>
          <w:sz w:val="24"/>
          <w:lang w:val="it-IT"/>
        </w:rPr>
        <w:t xml:space="preserve"> </w:t>
      </w:r>
      <w:r>
        <w:rPr>
          <w:rFonts w:eastAsia="Arial" w:cs="Arial"/>
          <w:sz w:val="24"/>
          <w:lang w:val="it-IT"/>
        </w:rPr>
        <w:t xml:space="preserve">Merita di essere letta con molta attenzione la sentenza [2013] CSIH 36 P876/11 emessa dalla Court of Session di Edimburgo, la Corte Suprema civile scozzese, in un caso divenuto un importante precedente, quello che nella </w:t>
      </w:r>
      <w:r>
        <w:rPr>
          <w:rFonts w:eastAsia="Arial" w:cs="Arial"/>
          <w:i/>
          <w:sz w:val="24"/>
          <w:lang w:val="it-IT"/>
        </w:rPr>
        <w:t xml:space="preserve">common law </w:t>
      </w:r>
      <w:r>
        <w:rPr>
          <w:rFonts w:eastAsia="Arial" w:cs="Arial"/>
          <w:sz w:val="24"/>
          <w:lang w:val="it-IT"/>
        </w:rPr>
        <w:t xml:space="preserve">si definisce un </w:t>
      </w:r>
      <w:r>
        <w:rPr>
          <w:rFonts w:eastAsia="Arial" w:cs="Arial"/>
          <w:i/>
          <w:sz w:val="24"/>
          <w:lang w:val="it-IT"/>
        </w:rPr>
        <w:t>landmark case</w:t>
      </w:r>
      <w:r>
        <w:rPr>
          <w:rFonts w:eastAsia="Arial" w:cs="Arial"/>
          <w:sz w:val="24"/>
          <w:lang w:val="it-IT"/>
        </w:rPr>
        <w:t>.</w:t>
      </w:r>
    </w:p>
    <w:p w:rsidR="00A41968" w:rsidRDefault="00EE4C61">
      <w:pPr>
        <w:spacing w:before="40" w:after="40" w:line="264" w:lineRule="auto"/>
        <w:jc w:val="both"/>
        <w:rPr>
          <w:rFonts w:eastAsia="Arial" w:cs="Arial"/>
          <w:sz w:val="24"/>
          <w:lang w:val="it-IT"/>
        </w:rPr>
      </w:pPr>
      <w:r>
        <w:rPr>
          <w:rFonts w:eastAsia="Arial" w:cs="Arial"/>
          <w:sz w:val="24"/>
          <w:lang w:val="it-IT"/>
        </w:rPr>
        <w:t>E meritano di essere ricordati anche i nomi dei tre coraggiosi magistrati della Corte: Lord Mackay ofDrumadoon, Lady Dorrian e Lord McEwan.</w:t>
      </w:r>
    </w:p>
    <w:p w:rsidR="00A41968" w:rsidRDefault="00EE4C61">
      <w:pPr>
        <w:spacing w:before="40" w:after="40" w:line="264" w:lineRule="auto"/>
        <w:jc w:val="both"/>
        <w:rPr>
          <w:rFonts w:eastAsia="Arial" w:cs="Arial"/>
          <w:sz w:val="24"/>
          <w:lang w:val="it-IT"/>
        </w:rPr>
      </w:pPr>
      <w:r>
        <w:rPr>
          <w:rFonts w:eastAsia="Arial" w:cs="Arial"/>
          <w:b/>
          <w:bCs/>
          <w:sz w:val="24"/>
          <w:lang w:val="it-IT"/>
        </w:rPr>
        <w:t>Il caso riguarda la vicenda di due ostetriche cattoliche</w:t>
      </w:r>
      <w:r>
        <w:rPr>
          <w:rFonts w:eastAsia="Arial" w:cs="Arial"/>
          <w:sz w:val="24"/>
          <w:lang w:val="it-IT"/>
        </w:rPr>
        <w:t>, Mary Teresa Doogan e Concepta Wood, che da molti anni lavorano presso il plesso ospedaliero del NHS Greater Glasgow and Clyde Health. Avendo esercitato il diritto all’obiezione di coscienza, le due donne non sono mai state coinvoltenelle procedure di interruzione volontaria della gravidanza, fino al momento in cui, con la chiusura del Queen Mother's Maternity Hospital di Glasgow avvenuta nel 2010, si è registrato un aumento delle richieste di aborto.</w:t>
      </w:r>
    </w:p>
    <w:p w:rsidR="00A41968" w:rsidRDefault="00EE4C61">
      <w:pPr>
        <w:spacing w:before="40" w:after="40" w:line="264" w:lineRule="auto"/>
        <w:jc w:val="both"/>
        <w:rPr>
          <w:rFonts w:eastAsia="Arial" w:cs="Arial"/>
          <w:sz w:val="24"/>
          <w:lang w:val="it-IT"/>
        </w:rPr>
      </w:pPr>
      <w:r>
        <w:rPr>
          <w:rFonts w:eastAsia="Arial" w:cs="Arial"/>
          <w:b/>
          <w:bCs/>
          <w:sz w:val="24"/>
          <w:lang w:val="it-IT"/>
        </w:rPr>
        <w:t>Sul presupposto di una carenza di personale</w:t>
      </w:r>
      <w:r>
        <w:rPr>
          <w:rFonts w:eastAsia="Arial" w:cs="Arial"/>
          <w:sz w:val="24"/>
          <w:lang w:val="it-IT"/>
        </w:rPr>
        <w:t>, la struttura sanitaria in cui operano le predette ostetriche ha preteso che le stesse dessero un’assistenza indiretta alle procedure di interruzione della gravidanza.</w:t>
      </w:r>
    </w:p>
    <w:p w:rsidR="00A41968" w:rsidRDefault="00EE4C61">
      <w:pPr>
        <w:spacing w:before="40" w:after="40" w:line="264" w:lineRule="auto"/>
        <w:jc w:val="both"/>
        <w:rPr>
          <w:rFonts w:eastAsia="Arial" w:cs="Arial"/>
          <w:sz w:val="24"/>
          <w:lang w:val="it-IT"/>
        </w:rPr>
      </w:pPr>
      <w:r>
        <w:rPr>
          <w:rFonts w:eastAsia="Arial" w:cs="Arial"/>
          <w:sz w:val="24"/>
          <w:lang w:val="it-IT"/>
        </w:rPr>
        <w:t>Immediato il reclamo da parte delle due donne al NHS Greater Glasgow and Clyde Health Board, reclamo che è stato puntualmente rigettato sull’assunto che la semplice presenza, supervisione e assistenza alle procedure abortive non significhi una partecipazione diretta alle medesime.</w:t>
      </w:r>
    </w:p>
    <w:p w:rsidR="00A41968" w:rsidRDefault="00EE4C61">
      <w:pPr>
        <w:spacing w:before="40" w:after="40" w:line="264" w:lineRule="auto"/>
        <w:jc w:val="both"/>
        <w:rPr>
          <w:rFonts w:eastAsia="Arial" w:cs="Arial"/>
          <w:sz w:val="24"/>
          <w:lang w:val="it-IT"/>
        </w:rPr>
      </w:pPr>
      <w:r>
        <w:rPr>
          <w:rFonts w:eastAsia="Arial" w:cs="Arial"/>
          <w:sz w:val="24"/>
          <w:lang w:val="it-IT"/>
        </w:rPr>
        <w:t>La decisione è stata impugnata davanti la competente autorità giudiziaria, il Lord Ordinary, che ha dato torto alle ricorrenti.</w:t>
      </w:r>
    </w:p>
    <w:p w:rsidR="00A41968" w:rsidRDefault="00EE4C61">
      <w:pPr>
        <w:spacing w:before="40" w:after="40" w:line="264" w:lineRule="auto"/>
        <w:jc w:val="both"/>
        <w:rPr>
          <w:rFonts w:eastAsia="Arial" w:cs="Arial"/>
          <w:sz w:val="24"/>
          <w:lang w:val="it-IT"/>
        </w:rPr>
      </w:pPr>
      <w:r>
        <w:rPr>
          <w:rFonts w:eastAsia="Arial" w:cs="Arial"/>
          <w:b/>
          <w:bCs/>
          <w:sz w:val="24"/>
          <w:lang w:val="it-IT"/>
        </w:rPr>
        <w:t xml:space="preserve">Quel giudice ha ritenuto, infatti, che nella lista dei doveri </w:t>
      </w:r>
      <w:r>
        <w:rPr>
          <w:rFonts w:eastAsia="Arial" w:cs="Arial"/>
          <w:sz w:val="24"/>
          <w:lang w:val="it-IT"/>
        </w:rPr>
        <w:t>cui sono tenute per legge le ostetriche, ve ne sono alcuni non direttamente correlati all’operazione abortiva strettamente intesa, quali, ad esempio, quello di fissare telefonicamente gli appuntamenti per interrompere la gravidanza, sistemare le pazienti nella sala operatoria, assicurare ai familiari delle pazienti un adeguato supporto, e così via.</w:t>
      </w:r>
    </w:p>
    <w:p w:rsidR="00A41968" w:rsidRDefault="00EE4C61">
      <w:pPr>
        <w:spacing w:before="40" w:after="40" w:line="264" w:lineRule="auto"/>
        <w:jc w:val="both"/>
        <w:rPr>
          <w:rFonts w:eastAsia="Arial" w:cs="Arial"/>
          <w:sz w:val="24"/>
          <w:lang w:val="it-IT"/>
        </w:rPr>
      </w:pPr>
      <w:r>
        <w:rPr>
          <w:rFonts w:eastAsia="Arial" w:cs="Arial"/>
          <w:sz w:val="24"/>
          <w:lang w:val="it-IT"/>
        </w:rPr>
        <w:t>Nella sentenza è stata quindi definita una distinzione tra partecipazione diretta e indiretta all’intervento di interruzione della gravidanza, e riconosciuto il diritto all’obiezione di coscienza soltanto nel primo caso.</w:t>
      </w:r>
    </w:p>
    <w:p w:rsidR="00A41968" w:rsidRDefault="00EE4C61">
      <w:pPr>
        <w:spacing w:before="40" w:after="40" w:line="264" w:lineRule="auto"/>
        <w:jc w:val="both"/>
        <w:rPr>
          <w:rFonts w:eastAsia="Arial" w:cs="Arial"/>
          <w:sz w:val="24"/>
          <w:lang w:val="it-IT"/>
        </w:rPr>
      </w:pPr>
      <w:r>
        <w:rPr>
          <w:rFonts w:eastAsia="Arial" w:cs="Arial"/>
          <w:b/>
          <w:bCs/>
          <w:sz w:val="24"/>
          <w:lang w:val="it-IT"/>
        </w:rPr>
        <w:t xml:space="preserve">Lo stesso giudice, poi, ha ritenuto che la previsione normativa </w:t>
      </w:r>
      <w:r>
        <w:rPr>
          <w:rFonts w:eastAsia="Arial" w:cs="Arial"/>
          <w:sz w:val="24"/>
          <w:lang w:val="it-IT"/>
        </w:rPr>
        <w:t>dell’obiezione di coscienza si riferisse al fatto che l’aborto fosse considerato, prima dell’Abortion Act del 1967, un reato penale, con la conseguenza che la stessa obiezione non possa essere riconosciuta per gli atti precedentemente non considerati penalmente perseguibili.</w:t>
      </w:r>
    </w:p>
    <w:p w:rsidR="00A41968" w:rsidRDefault="00EE4C61">
      <w:pPr>
        <w:spacing w:before="40" w:after="40" w:line="264" w:lineRule="auto"/>
        <w:jc w:val="both"/>
        <w:rPr>
          <w:rFonts w:eastAsia="Arial" w:cs="Arial"/>
          <w:sz w:val="24"/>
          <w:lang w:val="it-IT"/>
        </w:rPr>
      </w:pPr>
      <w:r>
        <w:rPr>
          <w:rFonts w:eastAsia="Arial" w:cs="Arial"/>
          <w:sz w:val="24"/>
          <w:lang w:val="it-IT"/>
        </w:rPr>
        <w:t>Infine, sempre nella citata sentenza, lo stesso magistrato non ha ritenuto invocabile il diritto all’obiezione di coscienza nel caso in cui l’interruzione della gravidanza sia necessaria per prevenire una grave invalidità permanente alla salute fisica o mentale della donna, o nell’ipotesi in cui la prosecuzione della gravidanza implichi un rischio di vita per la stessa donna.</w:t>
      </w:r>
    </w:p>
    <w:p w:rsidR="00A41968" w:rsidRDefault="00EE4C61">
      <w:pPr>
        <w:spacing w:before="40" w:after="40" w:line="264" w:lineRule="auto"/>
        <w:jc w:val="both"/>
        <w:rPr>
          <w:rFonts w:eastAsia="Arial" w:cs="Arial"/>
          <w:sz w:val="24"/>
          <w:lang w:val="it-IT"/>
        </w:rPr>
      </w:pPr>
      <w:r>
        <w:rPr>
          <w:rFonts w:eastAsia="Arial" w:cs="Arial"/>
          <w:b/>
          <w:bCs/>
          <w:sz w:val="24"/>
          <w:lang w:val="it-IT"/>
        </w:rPr>
        <w:t xml:space="preserve">La decisione del Lord Ordinary è stata impugnata </w:t>
      </w:r>
      <w:r>
        <w:rPr>
          <w:rFonts w:eastAsia="Arial" w:cs="Arial"/>
          <w:sz w:val="24"/>
          <w:lang w:val="it-IT"/>
        </w:rPr>
        <w:t>dalle due ostriche avanti la Court of Session di Edimburgo, che ha provveduto a riformarla con la citata sentenza [2013] CSIH 36 P876/11. Secondo Lord Mackay of Drumadoon, Lady Dorrian e Lord McEwan, infatti, «il diritto all’obiezione di coscienza non può riferirsi, in maniera riduttiva, al solo momento chirurgico dell’interruzione della gravidanza, ma si estende necessariamente all’intero procedimento finalizzato all’aborto».</w:t>
      </w:r>
    </w:p>
    <w:p w:rsidR="00A41968" w:rsidRDefault="00EE4C61">
      <w:pPr>
        <w:spacing w:before="40" w:after="40" w:line="264" w:lineRule="auto"/>
        <w:jc w:val="both"/>
        <w:rPr>
          <w:rFonts w:eastAsia="Arial" w:cs="Arial"/>
          <w:sz w:val="24"/>
          <w:lang w:val="it-IT"/>
        </w:rPr>
      </w:pPr>
      <w:r>
        <w:rPr>
          <w:rFonts w:eastAsia="Arial" w:cs="Arial"/>
          <w:sz w:val="24"/>
          <w:lang w:val="it-IT"/>
        </w:rPr>
        <w:t xml:space="preserve">In questo senso, i predetti magistrati, hanno condiviso il precedente del caso R v Salford Area Hospital Authority ex parte Janaway [1989] 1AC 537, nella parte in cui stabilisce, appunto che il diritto all’obiezione di coscienza si estende «a tutta la fase di cura pre e post operatoria, comprendendo anche il caso in cui, per una </w:t>
      </w:r>
      <w:r>
        <w:rPr>
          <w:rFonts w:eastAsia="Arial" w:cs="Arial"/>
          <w:sz w:val="24"/>
          <w:lang w:val="it-IT"/>
        </w:rPr>
        <w:lastRenderedPageBreak/>
        <w:t>qualunque ragione, l’interruzione della gravidanza non abbia comunque luogo».</w:t>
      </w:r>
    </w:p>
    <w:p w:rsidR="00A41968" w:rsidRDefault="00EE4C61">
      <w:pPr>
        <w:spacing w:before="40" w:after="40" w:line="264" w:lineRule="auto"/>
        <w:jc w:val="both"/>
        <w:rPr>
          <w:rFonts w:eastAsia="Arial" w:cs="Arial"/>
          <w:sz w:val="24"/>
          <w:lang w:val="it-IT"/>
        </w:rPr>
      </w:pPr>
      <w:r>
        <w:rPr>
          <w:rFonts w:eastAsia="Arial" w:cs="Arial"/>
          <w:b/>
          <w:bCs/>
          <w:sz w:val="24"/>
          <w:lang w:val="it-IT"/>
        </w:rPr>
        <w:t>Del resto, si legge sempre nella sentenza emessa dalla Court of Session</w:t>
      </w:r>
      <w:r>
        <w:rPr>
          <w:rFonts w:eastAsia="Arial" w:cs="Arial"/>
          <w:sz w:val="24"/>
          <w:lang w:val="it-IT"/>
        </w:rPr>
        <w:t>, l’introduzione della distinzione del grado di partecipazione al procedimento abortivo rischierebbe anche di apparire contraria al «common sense», ovvero al semplice buon senso, laddove si consideri l’assurdità, dal punto di vista pratico, di dover valutare ogni singolo atto per verificare quanto esso possa considerarsi direttamente connesso all’operazione chirurgica di interruzione della gravidanza. In ogni caso, non si tratta di un problema tecnico, ma di un problema etico, ed è per questo che anche la mera presenza durante l’esecuzione di un aborto deve essere evitata a un obiettore, dato che questi non può essere considerato un semplice «passive bystander», un mero osservatore passivo.</w:t>
      </w:r>
    </w:p>
    <w:p w:rsidR="00A41968" w:rsidRDefault="00EE4C61">
      <w:pPr>
        <w:spacing w:before="40" w:after="40" w:line="264" w:lineRule="auto"/>
        <w:jc w:val="both"/>
        <w:rPr>
          <w:rFonts w:eastAsia="Arial" w:cs="Arial"/>
          <w:sz w:val="24"/>
          <w:lang w:val="it-IT"/>
        </w:rPr>
      </w:pPr>
      <w:r>
        <w:rPr>
          <w:rFonts w:eastAsia="Arial" w:cs="Arial"/>
          <w:b/>
          <w:bCs/>
          <w:sz w:val="24"/>
          <w:lang w:val="it-IT"/>
        </w:rPr>
        <w:t>Sempre per gli stessi giudici della Court of Session</w:t>
      </w:r>
      <w:r>
        <w:rPr>
          <w:rFonts w:eastAsia="Arial" w:cs="Arial"/>
          <w:sz w:val="24"/>
          <w:lang w:val="it-IT"/>
        </w:rPr>
        <w:t>, poi, «il diritto all’obiezione di coscienza non è riconosciuto perché relativo ad atti un tempo considerati illegali, ma perché l’aborto è percepito da molte persone come un fatto moralmente ripugnante». Prosegue la sentenza: «È una questione sulla quale non poche persone hanno profonde convinzioni morali e religiose, e il diritto all’obiezione di coscienza è riconosciuto proprio in virtù del rispetto di quelle convinzioni, e per nessun’altra ragione».</w:t>
      </w:r>
    </w:p>
    <w:p w:rsidR="00A41968" w:rsidRDefault="00EE4C61">
      <w:pPr>
        <w:spacing w:before="40" w:after="40" w:line="264" w:lineRule="auto"/>
        <w:jc w:val="both"/>
        <w:rPr>
          <w:rFonts w:eastAsia="Arial" w:cs="Arial"/>
          <w:sz w:val="24"/>
          <w:lang w:val="it-IT"/>
        </w:rPr>
      </w:pPr>
      <w:r>
        <w:rPr>
          <w:rFonts w:eastAsia="Arial" w:cs="Arial"/>
          <w:b/>
          <w:bCs/>
          <w:sz w:val="24"/>
          <w:lang w:val="it-IT"/>
        </w:rPr>
        <w:t>Merita, infine, di essere segnalata la totale condivisione</w:t>
      </w:r>
      <w:r>
        <w:rPr>
          <w:rFonts w:eastAsia="Arial" w:cs="Arial"/>
          <w:sz w:val="24"/>
          <w:lang w:val="it-IT"/>
        </w:rPr>
        <w:t>, da parte della Suprema Corte civile scozzese, del ragionamento contenuto in un altro precedente giurisprudenziale citato nella sentenza, ovvero il caso Christian Education SA v Minister of Education (2001) 9 BHRC53: Il problema basilare di ogni società liberale e democratica che si fondi sulla dignità umana, sull’eguaglianza e sulla libertà, nella quale la coscienza e la libertà religiosa devono essere considerate con assoluta serietà, è quello di comprendere fino a che punto un simile sistema democratico possa e debba consentire alle comunità religiose di stabilire quali siano le leggi per loro vincolanti e quelle cui non debbono obbedire. (…) Una simile società può stare insieme solo se tutti i suoi membri accettano una comune base normativa vincolante.</w:t>
      </w:r>
    </w:p>
    <w:p w:rsidR="00A41968" w:rsidRDefault="00EE4C61">
      <w:pPr>
        <w:spacing w:before="40" w:after="40" w:line="264" w:lineRule="auto"/>
        <w:jc w:val="both"/>
        <w:rPr>
          <w:rFonts w:eastAsia="Arial" w:cs="Arial"/>
          <w:sz w:val="24"/>
          <w:lang w:val="it-IT"/>
        </w:rPr>
      </w:pPr>
      <w:r>
        <w:rPr>
          <w:rFonts w:eastAsia="Arial" w:cs="Arial"/>
          <w:b/>
          <w:bCs/>
          <w:sz w:val="24"/>
          <w:lang w:val="it-IT"/>
        </w:rPr>
        <w:t xml:space="preserve">Conseguentemente, i credenti non possono pretendere un diritto automatico </w:t>
      </w:r>
      <w:r>
        <w:rPr>
          <w:rFonts w:eastAsia="Arial" w:cs="Arial"/>
          <w:sz w:val="24"/>
          <w:lang w:val="it-IT"/>
        </w:rPr>
        <w:t>a rifiutare le leggi del Paese a causa delle proprie convinzioni religiose.Allo stesso tempo, però, lo stato deve cercare di evitare, nei limiti del possibile, di porre i credenti nell’atroce dilemma di dover scegliere tra la coerenza con la propria fede e l’obbedienza alla legge. Parole sagge. O meglio, come direbbero i giudici della Court of Session di Edimburgo, di «common sense».</w:t>
      </w:r>
    </w:p>
    <w:tbl>
      <w:tblPr>
        <w:tblStyle w:val="Tablaconcuadrcula"/>
        <w:tblW w:w="5000" w:type="pct"/>
        <w:tblLook w:val="04A0" w:firstRow="1" w:lastRow="0" w:firstColumn="1" w:lastColumn="0" w:noHBand="0" w:noVBand="1"/>
      </w:tblPr>
      <w:tblGrid>
        <w:gridCol w:w="2591"/>
        <w:gridCol w:w="8512"/>
      </w:tblGrid>
      <w:tr w:rsidR="00A41968" w:rsidRPr="005B3DA9">
        <w:tc>
          <w:tcPr>
            <w:tcW w:w="1167" w:type="pct"/>
          </w:tcPr>
          <w:p w:rsidR="00843911" w:rsidRPr="001E671F" w:rsidRDefault="00843911">
            <w:pPr>
              <w:spacing w:before="40" w:after="40"/>
              <w:jc w:val="both"/>
              <w:rPr>
                <w:rFonts w:eastAsia="Arial" w:cs="Arial"/>
                <w:sz w:val="24"/>
                <w:lang w:val="it-IT"/>
              </w:rPr>
            </w:pPr>
          </w:p>
          <w:p w:rsidR="00843911" w:rsidRPr="001E671F" w:rsidRDefault="00843911">
            <w:pPr>
              <w:spacing w:before="40" w:after="40"/>
              <w:jc w:val="both"/>
              <w:rPr>
                <w:rFonts w:eastAsia="Arial" w:cs="Arial"/>
                <w:sz w:val="24"/>
                <w:lang w:val="it-IT"/>
              </w:rPr>
            </w:pPr>
          </w:p>
          <w:p w:rsidR="00843911" w:rsidRPr="001E671F" w:rsidRDefault="00843911">
            <w:pPr>
              <w:spacing w:before="40" w:after="40"/>
              <w:jc w:val="both"/>
              <w:rPr>
                <w:rFonts w:eastAsia="Arial" w:cs="Arial"/>
                <w:sz w:val="24"/>
                <w:lang w:val="it-IT"/>
              </w:rPr>
            </w:pPr>
          </w:p>
          <w:p w:rsidR="00A41968" w:rsidRDefault="00EE4C61">
            <w:pPr>
              <w:spacing w:before="40" w:after="40"/>
              <w:jc w:val="both"/>
              <w:rPr>
                <w:rFonts w:eastAsia="Arial" w:cs="Arial"/>
                <w:sz w:val="24"/>
                <w:lang w:val="it-IT"/>
              </w:rPr>
            </w:pPr>
            <w:r>
              <w:rPr>
                <w:rFonts w:eastAsia="Arial" w:cs="Arial"/>
                <w:sz w:val="24"/>
              </w:rPr>
              <w:fldChar w:fldCharType="begin"/>
            </w:r>
            <w:r>
              <w:rPr>
                <w:rFonts w:eastAsia="Arial" w:cs="Arial"/>
                <w:sz w:val="24"/>
                <w:lang w:val="it-IT"/>
              </w:rPr>
              <w:instrText xml:space="preserve"> AUTONUM </w:instrText>
            </w:r>
            <w:r>
              <w:rPr>
                <w:rFonts w:eastAsia="Arial" w:cs="Arial"/>
                <w:sz w:val="24"/>
              </w:rPr>
              <w:fldChar w:fldCharType="end"/>
            </w:r>
            <w:r>
              <w:rPr>
                <w:rFonts w:eastAsia="Arial" w:cs="Arial"/>
                <w:sz w:val="24"/>
                <w:lang w:val="it-IT"/>
              </w:rPr>
              <w:t xml:space="preserve"> Pensi che il caso sia di obiezione di coscienza?</w:t>
            </w:r>
          </w:p>
          <w:p w:rsidR="00843911" w:rsidRDefault="00843911">
            <w:pPr>
              <w:spacing w:before="40" w:after="40"/>
              <w:jc w:val="both"/>
              <w:rPr>
                <w:rFonts w:eastAsia="Arial" w:cs="Arial"/>
                <w:sz w:val="24"/>
                <w:lang w:val="it-IT"/>
              </w:rPr>
            </w:pPr>
            <w:r>
              <w:rPr>
                <w:rFonts w:eastAsia="Arial" w:cs="Arial"/>
                <w:sz w:val="24"/>
                <w:lang w:val="it-IT"/>
              </w:rPr>
              <w:t>Perché?</w:t>
            </w:r>
          </w:p>
          <w:p w:rsidR="00843911" w:rsidRDefault="00843911">
            <w:pPr>
              <w:spacing w:before="40" w:after="40"/>
              <w:jc w:val="both"/>
              <w:rPr>
                <w:rFonts w:eastAsia="Arial" w:cs="Arial"/>
                <w:sz w:val="24"/>
                <w:lang w:val="it-IT"/>
              </w:rPr>
            </w:pPr>
          </w:p>
          <w:p w:rsidR="001E671F" w:rsidRDefault="001E671F">
            <w:pPr>
              <w:spacing w:before="40" w:after="40"/>
              <w:jc w:val="both"/>
              <w:rPr>
                <w:rFonts w:eastAsia="Arial" w:cs="Arial"/>
                <w:sz w:val="24"/>
                <w:lang w:val="it-IT"/>
              </w:rPr>
            </w:pPr>
          </w:p>
          <w:p w:rsidR="001E671F" w:rsidRDefault="001E671F">
            <w:pPr>
              <w:spacing w:before="40" w:after="40"/>
              <w:jc w:val="both"/>
              <w:rPr>
                <w:rFonts w:eastAsia="Arial" w:cs="Arial"/>
                <w:sz w:val="24"/>
                <w:lang w:val="it-IT"/>
              </w:rPr>
            </w:pPr>
          </w:p>
          <w:p w:rsidR="00843911" w:rsidRDefault="00843911">
            <w:pPr>
              <w:spacing w:before="40" w:after="40"/>
              <w:jc w:val="both"/>
              <w:rPr>
                <w:rFonts w:eastAsia="Arial" w:cs="Arial"/>
                <w:sz w:val="24"/>
                <w:lang w:val="it-IT"/>
              </w:rPr>
            </w:pPr>
          </w:p>
        </w:tc>
        <w:tc>
          <w:tcPr>
            <w:tcW w:w="3833" w:type="pct"/>
          </w:tcPr>
          <w:p w:rsidR="00843911" w:rsidRDefault="00EE4C61">
            <w:pPr>
              <w:spacing w:before="40" w:after="40"/>
              <w:jc w:val="both"/>
              <w:rPr>
                <w:rFonts w:eastAsia="Arial" w:cs="Arial"/>
                <w:sz w:val="24"/>
                <w:lang w:val="it-IT"/>
              </w:rPr>
            </w:pPr>
            <w:r>
              <w:rPr>
                <w:rFonts w:eastAsia="Arial" w:cs="Arial"/>
                <w:sz w:val="24"/>
                <w:lang w:val="it-IT"/>
              </w:rPr>
              <w:t xml:space="preserve">Rispondi </w:t>
            </w:r>
            <w:r w:rsidR="005B3DA9">
              <w:rPr>
                <w:rFonts w:eastAsia="Arial" w:cs="Arial"/>
                <w:sz w:val="24"/>
                <w:lang w:val="it-IT"/>
              </w:rPr>
              <w:t xml:space="preserve">prima </w:t>
            </w:r>
            <w:r>
              <w:rPr>
                <w:rFonts w:eastAsia="Arial" w:cs="Arial"/>
                <w:sz w:val="24"/>
                <w:lang w:val="it-IT"/>
              </w:rPr>
              <w:t xml:space="preserve">solo </w:t>
            </w:r>
            <w:r w:rsidRPr="005B3DA9">
              <w:rPr>
                <w:rFonts w:eastAsia="Arial" w:cs="Arial"/>
                <w:b/>
                <w:sz w:val="24"/>
                <w:lang w:val="it-IT"/>
              </w:rPr>
              <w:t>SI</w:t>
            </w:r>
            <w:r w:rsidR="00843911">
              <w:rPr>
                <w:rFonts w:eastAsia="Arial" w:cs="Arial"/>
                <w:sz w:val="24"/>
                <w:lang w:val="it-IT"/>
              </w:rPr>
              <w:t xml:space="preserve">    </w:t>
            </w:r>
            <w:r>
              <w:rPr>
                <w:rFonts w:eastAsia="Arial" w:cs="Arial"/>
                <w:sz w:val="24"/>
                <w:lang w:val="it-IT"/>
              </w:rPr>
              <w:t xml:space="preserve">oppure </w:t>
            </w:r>
            <w:r w:rsidRPr="005B3DA9">
              <w:rPr>
                <w:rFonts w:eastAsia="Arial" w:cs="Arial"/>
                <w:b/>
                <w:sz w:val="24"/>
                <w:lang w:val="it-IT"/>
              </w:rPr>
              <w:t>NO</w:t>
            </w:r>
            <w:r w:rsidR="00843911">
              <w:rPr>
                <w:rFonts w:eastAsia="Arial" w:cs="Arial"/>
                <w:sz w:val="24"/>
                <w:lang w:val="it-IT"/>
              </w:rPr>
              <w:t xml:space="preserve">    Poi spiega perché.</w:t>
            </w:r>
          </w:p>
        </w:tc>
      </w:tr>
      <w:tr w:rsidR="00A41968" w:rsidRPr="007F180A">
        <w:tc>
          <w:tcPr>
            <w:tcW w:w="1167" w:type="pct"/>
          </w:tcPr>
          <w:p w:rsidR="0052794E" w:rsidRPr="001E671F" w:rsidRDefault="0052794E">
            <w:pPr>
              <w:spacing w:before="40" w:after="40" w:line="264" w:lineRule="auto"/>
              <w:jc w:val="both"/>
              <w:rPr>
                <w:rFonts w:eastAsia="Arial" w:cs="Arial"/>
                <w:sz w:val="24"/>
                <w:lang w:val="it-IT"/>
              </w:rPr>
            </w:pPr>
          </w:p>
          <w:p w:rsidR="00A41968" w:rsidRDefault="00EE4C61">
            <w:pPr>
              <w:spacing w:before="40" w:after="40" w:line="264" w:lineRule="auto"/>
              <w:jc w:val="both"/>
              <w:rPr>
                <w:rFonts w:eastAsia="Arial" w:cs="Arial"/>
                <w:sz w:val="24"/>
                <w:lang w:val="it-IT"/>
              </w:rPr>
            </w:pPr>
            <w:r>
              <w:rPr>
                <w:rFonts w:eastAsia="Arial" w:cs="Arial"/>
                <w:sz w:val="24"/>
              </w:rPr>
              <w:fldChar w:fldCharType="begin"/>
            </w:r>
            <w:r>
              <w:rPr>
                <w:rFonts w:eastAsia="Arial" w:cs="Arial"/>
                <w:sz w:val="24"/>
                <w:lang w:val="it-IT"/>
              </w:rPr>
              <w:instrText xml:space="preserve"> AUTONUM </w:instrText>
            </w:r>
            <w:r>
              <w:rPr>
                <w:rFonts w:eastAsia="Arial" w:cs="Arial"/>
                <w:sz w:val="24"/>
              </w:rPr>
              <w:fldChar w:fldCharType="end"/>
            </w:r>
            <w:r>
              <w:rPr>
                <w:rFonts w:eastAsia="Arial" w:cs="Arial"/>
                <w:sz w:val="24"/>
                <w:lang w:val="it-IT"/>
              </w:rPr>
              <w:t xml:space="preserve"> Ne caso si tratti di obiezione di coscienza, questa sarebbe assoluta o relativa. Perché?</w:t>
            </w:r>
          </w:p>
          <w:p w:rsidR="0052794E" w:rsidRDefault="0052794E">
            <w:pPr>
              <w:spacing w:before="40" w:after="40" w:line="264" w:lineRule="auto"/>
              <w:jc w:val="both"/>
              <w:rPr>
                <w:rFonts w:eastAsia="Arial" w:cs="Arial"/>
                <w:sz w:val="24"/>
                <w:lang w:val="it-IT"/>
              </w:rPr>
            </w:pPr>
          </w:p>
          <w:p w:rsidR="0052794E" w:rsidRDefault="007F180A">
            <w:pPr>
              <w:spacing w:before="40" w:after="40" w:line="264" w:lineRule="auto"/>
              <w:jc w:val="both"/>
              <w:rPr>
                <w:rFonts w:eastAsia="Arial" w:cs="Arial"/>
                <w:sz w:val="24"/>
                <w:lang w:val="it-IT"/>
              </w:rPr>
            </w:pPr>
            <w:r>
              <w:rPr>
                <w:rFonts w:eastAsia="Arial" w:cs="Arial"/>
                <w:sz w:val="24"/>
                <w:lang w:val="it-IT"/>
              </w:rPr>
              <w:t>P</w:t>
            </w:r>
            <w:r w:rsidR="003C28BB">
              <w:rPr>
                <w:rFonts w:eastAsia="Arial" w:cs="Arial"/>
                <w:sz w:val="24"/>
                <w:lang w:val="it-IT"/>
              </w:rPr>
              <w:t>ositiv</w:t>
            </w:r>
            <w:r w:rsidR="0052794E">
              <w:rPr>
                <w:rFonts w:eastAsia="Arial" w:cs="Arial"/>
                <w:sz w:val="24"/>
                <w:lang w:val="it-IT"/>
              </w:rPr>
              <w:t xml:space="preserve">a oppure </w:t>
            </w:r>
            <w:r w:rsidR="003C28BB">
              <w:rPr>
                <w:rFonts w:eastAsia="Arial" w:cs="Arial"/>
                <w:sz w:val="24"/>
                <w:lang w:val="it-IT"/>
              </w:rPr>
              <w:t>negativa</w:t>
            </w:r>
            <w:r w:rsidR="0052794E">
              <w:rPr>
                <w:rFonts w:eastAsia="Arial" w:cs="Arial"/>
                <w:sz w:val="24"/>
                <w:lang w:val="it-IT"/>
              </w:rPr>
              <w:t>. Perché?</w:t>
            </w:r>
          </w:p>
          <w:p w:rsidR="00A41968" w:rsidRDefault="00A41968">
            <w:pPr>
              <w:spacing w:before="40" w:after="40" w:line="264" w:lineRule="auto"/>
              <w:jc w:val="both"/>
              <w:rPr>
                <w:rFonts w:eastAsia="Arial" w:cs="Arial"/>
                <w:sz w:val="24"/>
                <w:lang w:val="it-IT"/>
              </w:rPr>
            </w:pPr>
          </w:p>
          <w:p w:rsidR="007F180A" w:rsidRDefault="007F180A">
            <w:pPr>
              <w:spacing w:before="40" w:after="40" w:line="264" w:lineRule="auto"/>
              <w:jc w:val="both"/>
              <w:rPr>
                <w:rFonts w:eastAsia="Arial" w:cs="Arial"/>
                <w:sz w:val="24"/>
                <w:lang w:val="it-IT"/>
              </w:rPr>
            </w:pPr>
          </w:p>
          <w:p w:rsidR="0052794E" w:rsidRDefault="0052794E">
            <w:pPr>
              <w:spacing w:before="40" w:after="40" w:line="264" w:lineRule="auto"/>
              <w:jc w:val="both"/>
              <w:rPr>
                <w:rFonts w:eastAsia="Arial" w:cs="Arial"/>
                <w:sz w:val="24"/>
                <w:lang w:val="it-IT"/>
              </w:rPr>
            </w:pPr>
          </w:p>
        </w:tc>
        <w:tc>
          <w:tcPr>
            <w:tcW w:w="3833" w:type="pct"/>
          </w:tcPr>
          <w:p w:rsidR="00A41968" w:rsidRDefault="00A41968">
            <w:pPr>
              <w:spacing w:before="40" w:after="40" w:line="264" w:lineRule="auto"/>
              <w:jc w:val="both"/>
              <w:rPr>
                <w:rFonts w:eastAsia="Arial" w:cs="Arial"/>
                <w:sz w:val="24"/>
                <w:lang w:val="it-IT"/>
              </w:rPr>
            </w:pPr>
          </w:p>
        </w:tc>
      </w:tr>
      <w:tr w:rsidR="00A41968" w:rsidRPr="005B3DA9">
        <w:tc>
          <w:tcPr>
            <w:tcW w:w="1167" w:type="pct"/>
          </w:tcPr>
          <w:p w:rsidR="00A41968" w:rsidRDefault="00A41968">
            <w:pPr>
              <w:spacing w:before="40" w:after="40" w:line="264" w:lineRule="auto"/>
              <w:jc w:val="both"/>
              <w:rPr>
                <w:rFonts w:eastAsia="Arial" w:cs="Arial"/>
                <w:sz w:val="24"/>
                <w:lang w:val="it-IT"/>
              </w:rPr>
            </w:pPr>
          </w:p>
          <w:p w:rsidR="0052794E" w:rsidRDefault="0052794E">
            <w:pPr>
              <w:spacing w:before="40" w:after="40" w:line="264" w:lineRule="auto"/>
              <w:jc w:val="both"/>
              <w:rPr>
                <w:rFonts w:eastAsia="Arial" w:cs="Arial"/>
                <w:sz w:val="24"/>
                <w:lang w:val="it-IT"/>
              </w:rPr>
            </w:pPr>
          </w:p>
          <w:p w:rsidR="00A41968" w:rsidRDefault="00EE4C61">
            <w:pPr>
              <w:spacing w:before="40" w:after="40" w:line="264" w:lineRule="auto"/>
              <w:jc w:val="both"/>
              <w:rPr>
                <w:rFonts w:eastAsia="Arial" w:cs="Arial"/>
                <w:sz w:val="24"/>
                <w:lang w:val="it-IT"/>
              </w:rPr>
            </w:pPr>
            <w:r>
              <w:rPr>
                <w:rFonts w:eastAsia="Arial" w:cs="Arial"/>
                <w:sz w:val="24"/>
              </w:rPr>
              <w:fldChar w:fldCharType="begin"/>
            </w:r>
            <w:r>
              <w:rPr>
                <w:rFonts w:eastAsia="Arial" w:cs="Arial"/>
                <w:sz w:val="24"/>
                <w:lang w:val="it-IT"/>
              </w:rPr>
              <w:instrText xml:space="preserve"> AUTONUM </w:instrText>
            </w:r>
            <w:r>
              <w:rPr>
                <w:rFonts w:eastAsia="Arial" w:cs="Arial"/>
                <w:sz w:val="24"/>
              </w:rPr>
              <w:fldChar w:fldCharType="end"/>
            </w:r>
            <w:r>
              <w:rPr>
                <w:rFonts w:eastAsia="Arial" w:cs="Arial"/>
                <w:sz w:val="24"/>
                <w:lang w:val="it-IT"/>
              </w:rPr>
              <w:t xml:space="preserve"> Riassume gli argomenti che sono sati addotti </w:t>
            </w:r>
            <w:r w:rsidR="004C2D79">
              <w:rPr>
                <w:rFonts w:eastAsia="Arial" w:cs="Arial"/>
                <w:sz w:val="24"/>
                <w:lang w:val="it-IT"/>
              </w:rPr>
              <w:t xml:space="preserve">per </w:t>
            </w:r>
            <w:r w:rsidR="00211EE4">
              <w:rPr>
                <w:rFonts w:eastAsia="Arial" w:cs="Arial"/>
                <w:sz w:val="24"/>
                <w:lang w:val="it-IT"/>
              </w:rPr>
              <w:t>dare torto alle ricorrenti</w:t>
            </w:r>
            <w:bookmarkStart w:id="0" w:name="_GoBack"/>
            <w:bookmarkEnd w:id="0"/>
          </w:p>
          <w:p w:rsidR="00A41968" w:rsidRDefault="00A41968">
            <w:pPr>
              <w:spacing w:before="40" w:after="40" w:line="264" w:lineRule="auto"/>
              <w:jc w:val="both"/>
              <w:rPr>
                <w:rFonts w:eastAsia="Arial" w:cs="Arial"/>
                <w:sz w:val="24"/>
                <w:lang w:val="it-IT"/>
              </w:rPr>
            </w:pPr>
          </w:p>
          <w:p w:rsidR="00A41968" w:rsidRDefault="00A41968">
            <w:pPr>
              <w:spacing w:before="40" w:after="40" w:line="264" w:lineRule="auto"/>
              <w:jc w:val="both"/>
              <w:rPr>
                <w:rFonts w:eastAsia="Arial" w:cs="Arial"/>
                <w:sz w:val="24"/>
                <w:lang w:val="it-IT"/>
              </w:rPr>
            </w:pPr>
          </w:p>
          <w:p w:rsidR="00A41968" w:rsidRDefault="00A41968">
            <w:pPr>
              <w:spacing w:before="40" w:after="40" w:line="264" w:lineRule="auto"/>
              <w:jc w:val="both"/>
              <w:rPr>
                <w:rFonts w:eastAsia="Arial" w:cs="Arial"/>
                <w:sz w:val="24"/>
                <w:lang w:val="it-IT"/>
              </w:rPr>
            </w:pPr>
          </w:p>
          <w:p w:rsidR="00A41968" w:rsidRDefault="00A41968">
            <w:pPr>
              <w:spacing w:before="40" w:after="40" w:line="264" w:lineRule="auto"/>
              <w:jc w:val="both"/>
              <w:rPr>
                <w:rFonts w:eastAsia="Arial" w:cs="Arial"/>
                <w:sz w:val="24"/>
                <w:lang w:val="it-IT"/>
              </w:rPr>
            </w:pPr>
          </w:p>
          <w:p w:rsidR="00A41968" w:rsidRDefault="00A41968">
            <w:pPr>
              <w:spacing w:before="40" w:after="40" w:line="264" w:lineRule="auto"/>
              <w:jc w:val="both"/>
              <w:rPr>
                <w:rFonts w:eastAsia="Arial" w:cs="Arial"/>
                <w:sz w:val="24"/>
                <w:lang w:val="it-IT"/>
              </w:rPr>
            </w:pPr>
          </w:p>
          <w:p w:rsidR="00A41968" w:rsidRDefault="00A41968">
            <w:pPr>
              <w:spacing w:before="40" w:after="40" w:line="264" w:lineRule="auto"/>
              <w:jc w:val="both"/>
              <w:rPr>
                <w:rFonts w:eastAsia="Arial" w:cs="Arial"/>
                <w:sz w:val="24"/>
                <w:lang w:val="it-IT"/>
              </w:rPr>
            </w:pPr>
          </w:p>
        </w:tc>
        <w:tc>
          <w:tcPr>
            <w:tcW w:w="3833" w:type="pct"/>
          </w:tcPr>
          <w:p w:rsidR="00A41968" w:rsidRDefault="00A41968">
            <w:pPr>
              <w:spacing w:before="40" w:after="40" w:line="264" w:lineRule="auto"/>
              <w:jc w:val="both"/>
              <w:rPr>
                <w:rFonts w:eastAsia="Arial" w:cs="Arial"/>
                <w:sz w:val="24"/>
                <w:lang w:val="it-IT"/>
              </w:rPr>
            </w:pPr>
          </w:p>
        </w:tc>
      </w:tr>
      <w:tr w:rsidR="00A41968" w:rsidRPr="005B3DA9">
        <w:tc>
          <w:tcPr>
            <w:tcW w:w="1167" w:type="pct"/>
          </w:tcPr>
          <w:p w:rsidR="00A41968" w:rsidRPr="00D21001" w:rsidRDefault="00A41968">
            <w:pPr>
              <w:spacing w:before="40" w:after="40" w:line="264" w:lineRule="auto"/>
              <w:jc w:val="both"/>
              <w:rPr>
                <w:rFonts w:eastAsia="Arial" w:cs="Arial"/>
                <w:sz w:val="24"/>
                <w:lang w:val="it-IT"/>
              </w:rPr>
            </w:pPr>
          </w:p>
          <w:p w:rsidR="00A41968" w:rsidRPr="00D21001" w:rsidRDefault="00A41968">
            <w:pPr>
              <w:spacing w:before="40" w:after="40" w:line="264" w:lineRule="auto"/>
              <w:jc w:val="both"/>
              <w:rPr>
                <w:rFonts w:eastAsia="Arial" w:cs="Arial"/>
                <w:sz w:val="24"/>
                <w:lang w:val="it-IT"/>
              </w:rPr>
            </w:pPr>
          </w:p>
          <w:p w:rsidR="00A41968" w:rsidRPr="00D21001" w:rsidRDefault="00A41968">
            <w:pPr>
              <w:spacing w:before="40" w:after="40" w:line="264" w:lineRule="auto"/>
              <w:jc w:val="both"/>
              <w:rPr>
                <w:rFonts w:eastAsia="Arial" w:cs="Arial"/>
                <w:sz w:val="24"/>
                <w:lang w:val="it-IT"/>
              </w:rPr>
            </w:pPr>
          </w:p>
          <w:p w:rsidR="00A41968" w:rsidRPr="00D21001" w:rsidRDefault="00A41968">
            <w:pPr>
              <w:spacing w:before="40" w:after="40" w:line="264" w:lineRule="auto"/>
              <w:jc w:val="both"/>
              <w:rPr>
                <w:rFonts w:eastAsia="Arial" w:cs="Arial"/>
                <w:sz w:val="24"/>
                <w:lang w:val="it-IT"/>
              </w:rPr>
            </w:pPr>
          </w:p>
          <w:p w:rsidR="00A41968" w:rsidRPr="00D21001" w:rsidRDefault="00A41968">
            <w:pPr>
              <w:spacing w:before="40" w:after="40" w:line="264" w:lineRule="auto"/>
              <w:jc w:val="both"/>
              <w:rPr>
                <w:rFonts w:eastAsia="Arial" w:cs="Arial"/>
                <w:sz w:val="24"/>
                <w:lang w:val="it-IT"/>
              </w:rPr>
            </w:pPr>
          </w:p>
          <w:p w:rsidR="00A41968" w:rsidRDefault="00EE4C61">
            <w:pPr>
              <w:spacing w:before="40" w:after="40" w:line="264" w:lineRule="auto"/>
              <w:jc w:val="both"/>
              <w:rPr>
                <w:rFonts w:eastAsia="Arial" w:cs="Arial"/>
                <w:sz w:val="24"/>
                <w:lang w:val="it-IT"/>
              </w:rPr>
            </w:pPr>
            <w:r>
              <w:rPr>
                <w:rFonts w:eastAsia="Arial" w:cs="Arial"/>
                <w:sz w:val="24"/>
              </w:rPr>
              <w:fldChar w:fldCharType="begin"/>
            </w:r>
            <w:r>
              <w:rPr>
                <w:rFonts w:eastAsia="Arial" w:cs="Arial"/>
                <w:sz w:val="24"/>
                <w:lang w:val="it-IT"/>
              </w:rPr>
              <w:instrText xml:space="preserve"> AUTONUM </w:instrText>
            </w:r>
            <w:r>
              <w:rPr>
                <w:rFonts w:eastAsia="Arial" w:cs="Arial"/>
                <w:sz w:val="24"/>
              </w:rPr>
              <w:fldChar w:fldCharType="end"/>
            </w:r>
            <w:r>
              <w:rPr>
                <w:rFonts w:eastAsia="Arial" w:cs="Arial"/>
                <w:sz w:val="24"/>
                <w:lang w:val="it-IT"/>
              </w:rPr>
              <w:t xml:space="preserve"> Fai un tuo giudizio ragionato sul caso dal punto di vista giuridico</w:t>
            </w:r>
          </w:p>
          <w:p w:rsidR="00A41968" w:rsidRDefault="00A41968">
            <w:pPr>
              <w:spacing w:before="40" w:after="40" w:line="264" w:lineRule="auto"/>
              <w:jc w:val="both"/>
              <w:rPr>
                <w:rFonts w:eastAsia="Arial" w:cs="Arial"/>
                <w:sz w:val="24"/>
                <w:lang w:val="it-IT"/>
              </w:rPr>
            </w:pPr>
          </w:p>
          <w:p w:rsidR="00A41968" w:rsidRDefault="00A41968">
            <w:pPr>
              <w:spacing w:before="40" w:after="40" w:line="264" w:lineRule="auto"/>
              <w:jc w:val="both"/>
              <w:rPr>
                <w:rFonts w:eastAsia="Arial" w:cs="Arial"/>
                <w:sz w:val="24"/>
                <w:lang w:val="it-IT"/>
              </w:rPr>
            </w:pPr>
          </w:p>
          <w:p w:rsidR="00A41968" w:rsidRDefault="00A41968">
            <w:pPr>
              <w:spacing w:before="40" w:after="40" w:line="264" w:lineRule="auto"/>
              <w:jc w:val="both"/>
              <w:rPr>
                <w:rFonts w:eastAsia="Arial" w:cs="Arial"/>
                <w:sz w:val="24"/>
                <w:lang w:val="it-IT"/>
              </w:rPr>
            </w:pPr>
          </w:p>
          <w:p w:rsidR="00A41968" w:rsidRDefault="00A41968">
            <w:pPr>
              <w:spacing w:before="40" w:after="40" w:line="264" w:lineRule="auto"/>
              <w:jc w:val="both"/>
              <w:rPr>
                <w:rFonts w:eastAsia="Arial" w:cs="Arial"/>
                <w:sz w:val="24"/>
                <w:lang w:val="it-IT"/>
              </w:rPr>
            </w:pPr>
          </w:p>
          <w:p w:rsidR="00A41968" w:rsidRDefault="00A41968">
            <w:pPr>
              <w:spacing w:before="40" w:after="40" w:line="264" w:lineRule="auto"/>
              <w:jc w:val="both"/>
              <w:rPr>
                <w:rFonts w:eastAsia="Arial" w:cs="Arial"/>
                <w:sz w:val="24"/>
                <w:lang w:val="it-IT"/>
              </w:rPr>
            </w:pPr>
          </w:p>
          <w:p w:rsidR="00A41968" w:rsidRDefault="00A41968">
            <w:pPr>
              <w:spacing w:before="40" w:after="40" w:line="264" w:lineRule="auto"/>
              <w:jc w:val="both"/>
              <w:rPr>
                <w:rFonts w:eastAsia="Arial" w:cs="Arial"/>
                <w:sz w:val="24"/>
                <w:lang w:val="it-IT"/>
              </w:rPr>
            </w:pPr>
          </w:p>
          <w:p w:rsidR="00A41968" w:rsidRDefault="00A41968">
            <w:pPr>
              <w:spacing w:before="40" w:after="40" w:line="264" w:lineRule="auto"/>
              <w:jc w:val="both"/>
              <w:rPr>
                <w:rFonts w:eastAsia="Arial" w:cs="Arial"/>
                <w:sz w:val="24"/>
                <w:lang w:val="it-IT"/>
              </w:rPr>
            </w:pPr>
          </w:p>
        </w:tc>
        <w:tc>
          <w:tcPr>
            <w:tcW w:w="3833" w:type="pct"/>
          </w:tcPr>
          <w:p w:rsidR="00A41968" w:rsidRDefault="00A41968">
            <w:pPr>
              <w:spacing w:before="40" w:after="40" w:line="264" w:lineRule="auto"/>
              <w:jc w:val="both"/>
              <w:rPr>
                <w:rFonts w:eastAsia="Arial" w:cs="Arial"/>
                <w:sz w:val="24"/>
                <w:lang w:val="it-IT"/>
              </w:rPr>
            </w:pPr>
          </w:p>
        </w:tc>
      </w:tr>
      <w:tr w:rsidR="00CC7189" w:rsidRPr="00D21001">
        <w:tc>
          <w:tcPr>
            <w:tcW w:w="1167" w:type="pct"/>
          </w:tcPr>
          <w:p w:rsidR="005B3DA9" w:rsidRPr="005B3DA9" w:rsidRDefault="005B3DA9">
            <w:pPr>
              <w:spacing w:before="40" w:after="40" w:line="264" w:lineRule="auto"/>
              <w:jc w:val="both"/>
              <w:rPr>
                <w:rFonts w:eastAsia="Arial" w:cs="Arial"/>
                <w:sz w:val="24"/>
                <w:lang w:val="it-IT"/>
              </w:rPr>
            </w:pPr>
          </w:p>
          <w:p w:rsidR="009A73D3" w:rsidRPr="005B3DA9" w:rsidRDefault="009A73D3">
            <w:pPr>
              <w:spacing w:before="40" w:after="40" w:line="264" w:lineRule="auto"/>
              <w:jc w:val="both"/>
              <w:rPr>
                <w:rFonts w:eastAsia="Arial" w:cs="Arial"/>
                <w:sz w:val="24"/>
                <w:lang w:val="it-IT"/>
              </w:rPr>
            </w:pPr>
          </w:p>
          <w:p w:rsidR="00CC7189" w:rsidRDefault="009A73D3">
            <w:pPr>
              <w:spacing w:before="40" w:after="40" w:line="264" w:lineRule="auto"/>
              <w:jc w:val="both"/>
              <w:rPr>
                <w:rFonts w:eastAsia="Arial" w:cs="Arial"/>
                <w:sz w:val="24"/>
                <w:lang w:val="it-IT"/>
              </w:rPr>
            </w:pPr>
            <w:r>
              <w:rPr>
                <w:rFonts w:eastAsia="Arial" w:cs="Arial"/>
                <w:sz w:val="24"/>
              </w:rPr>
              <w:fldChar w:fldCharType="begin"/>
            </w:r>
            <w:r>
              <w:rPr>
                <w:rFonts w:eastAsia="Arial" w:cs="Arial"/>
                <w:sz w:val="24"/>
                <w:lang w:val="it-IT"/>
              </w:rPr>
              <w:instrText xml:space="preserve"> AUTONUM </w:instrText>
            </w:r>
            <w:r>
              <w:rPr>
                <w:rFonts w:eastAsia="Arial" w:cs="Arial"/>
                <w:sz w:val="24"/>
              </w:rPr>
              <w:fldChar w:fldCharType="end"/>
            </w:r>
            <w:r>
              <w:rPr>
                <w:rFonts w:eastAsia="Arial" w:cs="Arial"/>
                <w:sz w:val="24"/>
                <w:lang w:val="it-IT"/>
              </w:rPr>
              <w:t xml:space="preserve"> </w:t>
            </w:r>
            <w:r w:rsidRPr="009A73D3">
              <w:rPr>
                <w:rFonts w:eastAsia="Arial" w:cs="Arial"/>
                <w:sz w:val="24"/>
                <w:lang w:val="it-IT"/>
              </w:rPr>
              <w:t>Pensi che nella Chiesa v</w:t>
            </w:r>
            <w:r>
              <w:rPr>
                <w:rFonts w:eastAsia="Arial" w:cs="Arial"/>
                <w:sz w:val="24"/>
                <w:lang w:val="it-IT"/>
              </w:rPr>
              <w:t>i può essere obiezione di coscienza?</w:t>
            </w:r>
          </w:p>
          <w:p w:rsidR="009A73D3" w:rsidRDefault="009A73D3">
            <w:pPr>
              <w:spacing w:before="40" w:after="40" w:line="264" w:lineRule="auto"/>
              <w:jc w:val="both"/>
              <w:rPr>
                <w:rFonts w:eastAsia="Arial" w:cs="Arial"/>
                <w:sz w:val="24"/>
                <w:lang w:val="it-IT"/>
              </w:rPr>
            </w:pPr>
            <w:r>
              <w:rPr>
                <w:rFonts w:eastAsia="Arial" w:cs="Arial"/>
                <w:sz w:val="24"/>
                <w:lang w:val="it-IT"/>
              </w:rPr>
              <w:t>Potresti immaginare un esempio?</w:t>
            </w:r>
          </w:p>
          <w:p w:rsidR="009A73D3" w:rsidRDefault="009A73D3">
            <w:pPr>
              <w:spacing w:before="40" w:after="40" w:line="264" w:lineRule="auto"/>
              <w:jc w:val="both"/>
              <w:rPr>
                <w:rFonts w:eastAsia="Arial" w:cs="Arial"/>
                <w:sz w:val="24"/>
                <w:lang w:val="it-IT"/>
              </w:rPr>
            </w:pPr>
          </w:p>
          <w:p w:rsidR="009A73D3" w:rsidRDefault="009A73D3">
            <w:pPr>
              <w:spacing w:before="40" w:after="40" w:line="264" w:lineRule="auto"/>
              <w:jc w:val="both"/>
              <w:rPr>
                <w:rFonts w:eastAsia="Arial" w:cs="Arial"/>
                <w:sz w:val="24"/>
                <w:lang w:val="it-IT"/>
              </w:rPr>
            </w:pPr>
          </w:p>
          <w:p w:rsidR="009A73D3" w:rsidRDefault="009A73D3">
            <w:pPr>
              <w:spacing w:before="40" w:after="40" w:line="264" w:lineRule="auto"/>
              <w:jc w:val="both"/>
              <w:rPr>
                <w:rFonts w:eastAsia="Arial" w:cs="Arial"/>
                <w:sz w:val="24"/>
                <w:lang w:val="it-IT"/>
              </w:rPr>
            </w:pPr>
          </w:p>
          <w:p w:rsidR="009A73D3" w:rsidRDefault="009A73D3">
            <w:pPr>
              <w:spacing w:before="40" w:after="40" w:line="264" w:lineRule="auto"/>
              <w:jc w:val="both"/>
              <w:rPr>
                <w:rFonts w:eastAsia="Arial" w:cs="Arial"/>
                <w:sz w:val="24"/>
                <w:lang w:val="it-IT"/>
              </w:rPr>
            </w:pPr>
          </w:p>
          <w:p w:rsidR="002449B0" w:rsidRDefault="002449B0">
            <w:pPr>
              <w:spacing w:before="40" w:after="40" w:line="264" w:lineRule="auto"/>
              <w:jc w:val="both"/>
              <w:rPr>
                <w:rFonts w:eastAsia="Arial" w:cs="Arial"/>
                <w:sz w:val="24"/>
                <w:lang w:val="it-IT"/>
              </w:rPr>
            </w:pPr>
          </w:p>
          <w:p w:rsidR="009A73D3" w:rsidRDefault="009A73D3">
            <w:pPr>
              <w:spacing w:before="40" w:after="40" w:line="264" w:lineRule="auto"/>
              <w:jc w:val="both"/>
              <w:rPr>
                <w:rFonts w:eastAsia="Arial" w:cs="Arial"/>
                <w:sz w:val="24"/>
                <w:lang w:val="it-IT"/>
              </w:rPr>
            </w:pPr>
          </w:p>
          <w:p w:rsidR="007F180A" w:rsidRDefault="007F180A">
            <w:pPr>
              <w:spacing w:before="40" w:after="40" w:line="264" w:lineRule="auto"/>
              <w:jc w:val="both"/>
              <w:rPr>
                <w:rFonts w:eastAsia="Arial" w:cs="Arial"/>
                <w:sz w:val="24"/>
                <w:lang w:val="it-IT"/>
              </w:rPr>
            </w:pPr>
          </w:p>
          <w:p w:rsidR="005B3DA9" w:rsidRDefault="005B3DA9">
            <w:pPr>
              <w:spacing w:before="40" w:after="40" w:line="264" w:lineRule="auto"/>
              <w:jc w:val="both"/>
              <w:rPr>
                <w:rFonts w:eastAsia="Arial" w:cs="Arial"/>
                <w:sz w:val="24"/>
                <w:lang w:val="it-IT"/>
              </w:rPr>
            </w:pPr>
          </w:p>
          <w:p w:rsidR="009A73D3" w:rsidRDefault="009A73D3">
            <w:pPr>
              <w:spacing w:before="40" w:after="40" w:line="264" w:lineRule="auto"/>
              <w:jc w:val="both"/>
              <w:rPr>
                <w:rFonts w:eastAsia="Arial" w:cs="Arial"/>
                <w:sz w:val="24"/>
                <w:lang w:val="it-IT"/>
              </w:rPr>
            </w:pPr>
          </w:p>
          <w:p w:rsidR="009A73D3" w:rsidRPr="009A73D3" w:rsidRDefault="009A73D3">
            <w:pPr>
              <w:spacing w:before="40" w:after="40" w:line="264" w:lineRule="auto"/>
              <w:jc w:val="both"/>
              <w:rPr>
                <w:rFonts w:eastAsia="Arial" w:cs="Arial"/>
                <w:sz w:val="24"/>
                <w:lang w:val="it-IT"/>
              </w:rPr>
            </w:pPr>
          </w:p>
        </w:tc>
        <w:tc>
          <w:tcPr>
            <w:tcW w:w="3833" w:type="pct"/>
          </w:tcPr>
          <w:p w:rsidR="00CC7189" w:rsidRDefault="00CC7189">
            <w:pPr>
              <w:spacing w:before="40" w:after="40" w:line="264" w:lineRule="auto"/>
              <w:jc w:val="both"/>
              <w:rPr>
                <w:rFonts w:eastAsia="Arial" w:cs="Arial"/>
                <w:sz w:val="24"/>
                <w:lang w:val="it-IT"/>
              </w:rPr>
            </w:pPr>
          </w:p>
        </w:tc>
      </w:tr>
      <w:tr w:rsidR="00CC7189" w:rsidRPr="00D21001">
        <w:tc>
          <w:tcPr>
            <w:tcW w:w="1167" w:type="pct"/>
          </w:tcPr>
          <w:p w:rsidR="009A73D3" w:rsidRPr="005B3DA9" w:rsidRDefault="009A73D3">
            <w:pPr>
              <w:spacing w:before="40" w:after="40" w:line="264" w:lineRule="auto"/>
              <w:jc w:val="both"/>
              <w:rPr>
                <w:rFonts w:eastAsia="Arial" w:cs="Arial"/>
                <w:sz w:val="24"/>
                <w:lang w:val="it-IT"/>
              </w:rPr>
            </w:pPr>
          </w:p>
          <w:p w:rsidR="009A73D3" w:rsidRDefault="009A73D3">
            <w:pPr>
              <w:spacing w:before="40" w:after="40" w:line="264" w:lineRule="auto"/>
              <w:jc w:val="both"/>
              <w:rPr>
                <w:rFonts w:eastAsia="Arial" w:cs="Arial"/>
                <w:sz w:val="24"/>
                <w:lang w:val="it-IT"/>
              </w:rPr>
            </w:pPr>
          </w:p>
          <w:p w:rsidR="007F180A" w:rsidRPr="005B3DA9" w:rsidRDefault="007F180A">
            <w:pPr>
              <w:spacing w:before="40" w:after="40" w:line="264" w:lineRule="auto"/>
              <w:jc w:val="both"/>
              <w:rPr>
                <w:rFonts w:eastAsia="Arial" w:cs="Arial"/>
                <w:sz w:val="24"/>
                <w:lang w:val="it-IT"/>
              </w:rPr>
            </w:pPr>
          </w:p>
          <w:p w:rsidR="002449B0" w:rsidRPr="005B3DA9" w:rsidRDefault="002449B0">
            <w:pPr>
              <w:spacing w:before="40" w:after="40" w:line="264" w:lineRule="auto"/>
              <w:jc w:val="both"/>
              <w:rPr>
                <w:rFonts w:eastAsia="Arial" w:cs="Arial"/>
                <w:sz w:val="24"/>
                <w:lang w:val="it-IT"/>
              </w:rPr>
            </w:pPr>
          </w:p>
          <w:p w:rsidR="009A73D3" w:rsidRPr="005B3DA9" w:rsidRDefault="009A73D3">
            <w:pPr>
              <w:spacing w:before="40" w:after="40" w:line="264" w:lineRule="auto"/>
              <w:jc w:val="both"/>
              <w:rPr>
                <w:rFonts w:eastAsia="Arial" w:cs="Arial"/>
                <w:sz w:val="24"/>
                <w:lang w:val="it-IT"/>
              </w:rPr>
            </w:pPr>
          </w:p>
          <w:p w:rsidR="009A73D3" w:rsidRPr="005B3DA9" w:rsidRDefault="009A73D3">
            <w:pPr>
              <w:spacing w:before="40" w:after="40" w:line="264" w:lineRule="auto"/>
              <w:jc w:val="both"/>
              <w:rPr>
                <w:rFonts w:eastAsia="Arial" w:cs="Arial"/>
                <w:sz w:val="24"/>
                <w:lang w:val="it-IT"/>
              </w:rPr>
            </w:pPr>
          </w:p>
          <w:p w:rsidR="00CC7189" w:rsidRDefault="009A73D3">
            <w:pPr>
              <w:spacing w:before="40" w:after="40" w:line="264" w:lineRule="auto"/>
              <w:jc w:val="both"/>
              <w:rPr>
                <w:rFonts w:eastAsia="Arial" w:cs="Arial"/>
                <w:sz w:val="24"/>
                <w:lang w:val="it-IT"/>
              </w:rPr>
            </w:pPr>
            <w:r>
              <w:rPr>
                <w:rFonts w:eastAsia="Arial" w:cs="Arial"/>
                <w:sz w:val="24"/>
              </w:rPr>
              <w:fldChar w:fldCharType="begin"/>
            </w:r>
            <w:r>
              <w:rPr>
                <w:rFonts w:eastAsia="Arial" w:cs="Arial"/>
                <w:sz w:val="24"/>
                <w:lang w:val="it-IT"/>
              </w:rPr>
              <w:instrText xml:space="preserve"> AUTONUM </w:instrText>
            </w:r>
            <w:r>
              <w:rPr>
                <w:rFonts w:eastAsia="Arial" w:cs="Arial"/>
                <w:sz w:val="24"/>
              </w:rPr>
              <w:fldChar w:fldCharType="end"/>
            </w:r>
            <w:r w:rsidRPr="009A73D3">
              <w:rPr>
                <w:rFonts w:eastAsia="Arial" w:cs="Arial"/>
                <w:sz w:val="24"/>
                <w:lang w:val="it-IT"/>
              </w:rPr>
              <w:t xml:space="preserve"> Potrebbe esistere una obiezione d</w:t>
            </w:r>
            <w:r>
              <w:rPr>
                <w:rFonts w:eastAsia="Arial" w:cs="Arial"/>
                <w:sz w:val="24"/>
                <w:lang w:val="it-IT"/>
              </w:rPr>
              <w:t>i coscienza collettiva o istituzionale?</w:t>
            </w:r>
          </w:p>
          <w:p w:rsidR="005B3DA9" w:rsidRDefault="005B3DA9">
            <w:pPr>
              <w:spacing w:before="40" w:after="40" w:line="264" w:lineRule="auto"/>
              <w:jc w:val="both"/>
              <w:rPr>
                <w:rFonts w:eastAsia="Arial" w:cs="Arial"/>
                <w:sz w:val="24"/>
                <w:lang w:val="it-IT"/>
              </w:rPr>
            </w:pPr>
          </w:p>
          <w:p w:rsidR="009A73D3" w:rsidRDefault="009A73D3">
            <w:pPr>
              <w:spacing w:before="40" w:after="40" w:line="264" w:lineRule="auto"/>
              <w:jc w:val="both"/>
              <w:rPr>
                <w:rFonts w:eastAsia="Arial" w:cs="Arial"/>
                <w:sz w:val="24"/>
                <w:lang w:val="it-IT"/>
              </w:rPr>
            </w:pPr>
            <w:r>
              <w:rPr>
                <w:rFonts w:eastAsia="Arial" w:cs="Arial"/>
                <w:sz w:val="24"/>
                <w:lang w:val="it-IT"/>
              </w:rPr>
              <w:t>Come quale?</w:t>
            </w:r>
          </w:p>
          <w:p w:rsidR="009A73D3" w:rsidRDefault="009A73D3">
            <w:pPr>
              <w:spacing w:before="40" w:after="40" w:line="264" w:lineRule="auto"/>
              <w:jc w:val="both"/>
              <w:rPr>
                <w:rFonts w:eastAsia="Arial" w:cs="Arial"/>
                <w:sz w:val="24"/>
                <w:lang w:val="it-IT"/>
              </w:rPr>
            </w:pPr>
          </w:p>
          <w:p w:rsidR="009A73D3" w:rsidRDefault="009A73D3">
            <w:pPr>
              <w:spacing w:before="40" w:after="40" w:line="264" w:lineRule="auto"/>
              <w:jc w:val="both"/>
              <w:rPr>
                <w:rFonts w:eastAsia="Arial" w:cs="Arial"/>
                <w:sz w:val="24"/>
                <w:lang w:val="it-IT"/>
              </w:rPr>
            </w:pPr>
          </w:p>
          <w:p w:rsidR="002449B0" w:rsidRDefault="002449B0">
            <w:pPr>
              <w:spacing w:before="40" w:after="40" w:line="264" w:lineRule="auto"/>
              <w:jc w:val="both"/>
              <w:rPr>
                <w:rFonts w:eastAsia="Arial" w:cs="Arial"/>
                <w:sz w:val="24"/>
                <w:lang w:val="it-IT"/>
              </w:rPr>
            </w:pPr>
          </w:p>
          <w:p w:rsidR="002449B0" w:rsidRDefault="002449B0">
            <w:pPr>
              <w:spacing w:before="40" w:after="40" w:line="264" w:lineRule="auto"/>
              <w:jc w:val="both"/>
              <w:rPr>
                <w:rFonts w:eastAsia="Arial" w:cs="Arial"/>
                <w:sz w:val="24"/>
                <w:lang w:val="it-IT"/>
              </w:rPr>
            </w:pPr>
          </w:p>
          <w:p w:rsidR="009A73D3" w:rsidRDefault="009A73D3">
            <w:pPr>
              <w:spacing w:before="40" w:after="40" w:line="264" w:lineRule="auto"/>
              <w:jc w:val="both"/>
              <w:rPr>
                <w:rFonts w:eastAsia="Arial" w:cs="Arial"/>
                <w:sz w:val="24"/>
                <w:lang w:val="it-IT"/>
              </w:rPr>
            </w:pPr>
          </w:p>
          <w:p w:rsidR="009A73D3" w:rsidRDefault="009A73D3">
            <w:pPr>
              <w:spacing w:before="40" w:after="40" w:line="264" w:lineRule="auto"/>
              <w:jc w:val="both"/>
              <w:rPr>
                <w:rFonts w:eastAsia="Arial" w:cs="Arial"/>
                <w:sz w:val="24"/>
                <w:lang w:val="it-IT"/>
              </w:rPr>
            </w:pPr>
          </w:p>
          <w:p w:rsidR="009A73D3" w:rsidRPr="009A73D3" w:rsidRDefault="009A73D3">
            <w:pPr>
              <w:spacing w:before="40" w:after="40" w:line="264" w:lineRule="auto"/>
              <w:jc w:val="both"/>
              <w:rPr>
                <w:rFonts w:eastAsia="Arial" w:cs="Arial"/>
                <w:sz w:val="24"/>
                <w:lang w:val="it-IT"/>
              </w:rPr>
            </w:pPr>
          </w:p>
        </w:tc>
        <w:tc>
          <w:tcPr>
            <w:tcW w:w="3833" w:type="pct"/>
          </w:tcPr>
          <w:p w:rsidR="00CC7189" w:rsidRDefault="00CC7189">
            <w:pPr>
              <w:spacing w:before="40" w:after="40" w:line="264" w:lineRule="auto"/>
              <w:jc w:val="both"/>
              <w:rPr>
                <w:rFonts w:eastAsia="Arial" w:cs="Arial"/>
                <w:sz w:val="24"/>
                <w:lang w:val="it-IT"/>
              </w:rPr>
            </w:pPr>
          </w:p>
        </w:tc>
      </w:tr>
    </w:tbl>
    <w:p w:rsidR="001E671F" w:rsidRDefault="001E671F">
      <w:pPr>
        <w:spacing w:before="40" w:after="40" w:line="264" w:lineRule="auto"/>
        <w:jc w:val="both"/>
        <w:rPr>
          <w:rFonts w:eastAsia="Arial" w:cs="Arial"/>
          <w:sz w:val="24"/>
          <w:lang w:val="it-IT"/>
        </w:rPr>
      </w:pPr>
    </w:p>
    <w:sectPr w:rsidR="001E671F" w:rsidSect="00CA215F">
      <w:headerReference w:type="default" r:id="rId7"/>
      <w:type w:val="continuous"/>
      <w:pgSz w:w="11907" w:h="16840" w:code="9"/>
      <w:pgMar w:top="624" w:right="510" w:bottom="284" w:left="510" w:header="28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27BD" w:rsidRDefault="002327BD" w:rsidP="001E671F">
      <w:pPr>
        <w:spacing w:after="0" w:line="240" w:lineRule="auto"/>
      </w:pPr>
      <w:r>
        <w:separator/>
      </w:r>
    </w:p>
  </w:endnote>
  <w:endnote w:type="continuationSeparator" w:id="0">
    <w:p w:rsidR="002327BD" w:rsidRDefault="002327BD" w:rsidP="001E6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27BD" w:rsidRDefault="002327BD" w:rsidP="001E671F">
      <w:pPr>
        <w:spacing w:after="0" w:line="240" w:lineRule="auto"/>
      </w:pPr>
      <w:r>
        <w:separator/>
      </w:r>
    </w:p>
  </w:footnote>
  <w:footnote w:type="continuationSeparator" w:id="0">
    <w:p w:rsidR="002327BD" w:rsidRDefault="002327BD" w:rsidP="001E67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001" w:rsidRPr="00D21001" w:rsidRDefault="00D21001" w:rsidP="00D21001">
    <w:pPr>
      <w:pStyle w:val="Encabezado"/>
      <w:tabs>
        <w:tab w:val="clear" w:pos="4819"/>
        <w:tab w:val="clear" w:pos="9638"/>
      </w:tabs>
      <w:rPr>
        <w:lang w:val="it-IT"/>
      </w:rPr>
    </w:pPr>
    <w:r w:rsidRPr="00D21001">
      <w:rPr>
        <w:lang w:val="it-IT"/>
      </w:rPr>
      <w:t>Nome e cognome:</w:t>
    </w:r>
    <w:r w:rsidRPr="00D21001">
      <w:t xml:space="preserve"> </w:t>
    </w:r>
    <w:sdt>
      <w:sdtPr>
        <w:id w:val="1540005398"/>
        <w:docPartObj>
          <w:docPartGallery w:val="Page Numbers (Top of Page)"/>
          <w:docPartUnique/>
        </w:docPartObj>
      </w:sdtPr>
      <w:sdtEndPr/>
      <w:sdtContent>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5B3DA9">
          <w:tab/>
        </w:r>
        <w:r w:rsidR="005B3DA9">
          <w:tab/>
        </w:r>
        <w:r w:rsidR="005B3DA9">
          <w:tab/>
        </w:r>
        <w:r w:rsidR="005B3DA9">
          <w:tab/>
        </w:r>
        <w:r w:rsidR="005B3DA9">
          <w:tab/>
        </w:r>
        <w:r w:rsidR="005B3DA9">
          <w:tab/>
        </w:r>
        <w:r w:rsidR="005B3DA9">
          <w:tab/>
        </w:r>
        <w:r w:rsidR="005B3DA9">
          <w:tab/>
        </w:r>
        <w:r w:rsidR="005B3DA9">
          <w:tab/>
        </w:r>
        <w:r w:rsidR="005B3DA9">
          <w:tab/>
        </w:r>
        <w:r>
          <w:tab/>
        </w:r>
        <w:r>
          <w:tab/>
        </w:r>
        <w:r>
          <w:tab/>
        </w:r>
        <w:r w:rsidR="005B3DA9">
          <w:t>5.III.18</w:t>
        </w:r>
        <w:r w:rsidR="005B3DA9">
          <w:tab/>
        </w:r>
        <w:r w:rsidR="005B3DA9">
          <w:tab/>
          <w:t xml:space="preserve"> </w:t>
        </w:r>
        <w:r>
          <w:tab/>
        </w:r>
        <w:r>
          <w:fldChar w:fldCharType="begin"/>
        </w:r>
        <w:r>
          <w:instrText>PAGE   \* MERGEFORMAT</w:instrText>
        </w:r>
        <w:r>
          <w:fldChar w:fldCharType="separate"/>
        </w:r>
        <w:r w:rsidR="002327BD" w:rsidRPr="002327BD">
          <w:rPr>
            <w:noProof/>
            <w:lang w:val="es-ES"/>
          </w:rPr>
          <w:t>1</w:t>
        </w:r>
        <w: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70"/>
  <w:hyphenationZone w:val="283"/>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41968"/>
    <w:rsid w:val="00101AEF"/>
    <w:rsid w:val="001E671F"/>
    <w:rsid w:val="00211EE4"/>
    <w:rsid w:val="002327BD"/>
    <w:rsid w:val="002449B0"/>
    <w:rsid w:val="002A38F7"/>
    <w:rsid w:val="00392AB9"/>
    <w:rsid w:val="00397894"/>
    <w:rsid w:val="003C28BB"/>
    <w:rsid w:val="004C2D79"/>
    <w:rsid w:val="0052794E"/>
    <w:rsid w:val="005B3DA9"/>
    <w:rsid w:val="007419F7"/>
    <w:rsid w:val="007F180A"/>
    <w:rsid w:val="00843911"/>
    <w:rsid w:val="00962456"/>
    <w:rsid w:val="009A73D3"/>
    <w:rsid w:val="00A41968"/>
    <w:rsid w:val="00CA215F"/>
    <w:rsid w:val="00CC7189"/>
    <w:rsid w:val="00D21001"/>
    <w:rsid w:val="00EE4C6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F710A"/>
  <w15:docId w15:val="{C7863AC0-1E42-40AF-AFE1-3837AFE1B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E671F"/>
    <w:pPr>
      <w:tabs>
        <w:tab w:val="center" w:pos="4819"/>
        <w:tab w:val="right" w:pos="9638"/>
      </w:tabs>
      <w:spacing w:after="0" w:line="240" w:lineRule="auto"/>
    </w:pPr>
  </w:style>
  <w:style w:type="character" w:customStyle="1" w:styleId="EncabezadoCar">
    <w:name w:val="Encabezado Car"/>
    <w:basedOn w:val="Fuentedeprrafopredeter"/>
    <w:link w:val="Encabezado"/>
    <w:uiPriority w:val="99"/>
    <w:rsid w:val="001E671F"/>
  </w:style>
  <w:style w:type="paragraph" w:styleId="Piedepgina">
    <w:name w:val="footer"/>
    <w:basedOn w:val="Normal"/>
    <w:link w:val="PiedepginaCar"/>
    <w:uiPriority w:val="99"/>
    <w:unhideWhenUsed/>
    <w:rsid w:val="001E671F"/>
    <w:pPr>
      <w:tabs>
        <w:tab w:val="center" w:pos="4819"/>
        <w:tab w:val="right" w:pos="9638"/>
      </w:tabs>
      <w:spacing w:after="0" w:line="240" w:lineRule="auto"/>
    </w:pPr>
  </w:style>
  <w:style w:type="character" w:customStyle="1" w:styleId="PiedepginaCar">
    <w:name w:val="Pie de página Car"/>
    <w:basedOn w:val="Fuentedeprrafopredeter"/>
    <w:link w:val="Piedepgina"/>
    <w:uiPriority w:val="99"/>
    <w:rsid w:val="001E6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1114</Words>
  <Characters>6131</Characters>
  <Application>Microsoft Office Word</Application>
  <DocSecurity>0</DocSecurity>
  <Lines>51</Lines>
  <Paragraphs>14</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btc</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tomix</dc:creator>
  <cp:lastModifiedBy>jose martin</cp:lastModifiedBy>
  <cp:revision>3</cp:revision>
  <cp:lastPrinted>2016-02-13T11:37:00Z</cp:lastPrinted>
  <dcterms:created xsi:type="dcterms:W3CDTF">2018-03-04T12:14:00Z</dcterms:created>
  <dcterms:modified xsi:type="dcterms:W3CDTF">2018-03-04T12:16:00Z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2015-03-14T00:00:00Z</vt:filetime>
  </property>
  <property fmtid="{D5CDD505-2E9C-101B-9397-08002B2CF9AE}" pid="3" name="LastSaved">
    <vt:filetime>2015-03-14T00:00:00Z</vt:filetime>
  </property>
</Properties>
</file>