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anon"/>
        <w:keepNext w:val="0"/>
        <w:spacing w:before="0" w:after="120" w:line="209" w:lineRule="auto"/>
        <w:rPr>
          <w:rFonts w:asciiTheme="minorHAnsi" w:hAnsiTheme="minorHAnsi" w:cstheme="minorHAnsi"/>
          <w:sz w:val="28"/>
          <w:szCs w:val="28"/>
        </w:rPr>
      </w:pPr>
      <w:r>
        <w:rPr>
          <w:rFonts w:asciiTheme="minorHAnsi" w:hAnsiTheme="minorHAnsi" w:cstheme="minorHAnsi"/>
          <w:sz w:val="28"/>
          <w:szCs w:val="28"/>
        </w:rPr>
        <w:t>Norme circa gli enti e beni ecclesiastici in Italia…DECRETO   Il Cardinale Agostino Casaroli…</w:t>
      </w:r>
    </w:p>
    <w:p>
      <w:pPr>
        <w:spacing w:before="20" w:after="20" w:line="209" w:lineRule="auto"/>
        <w:ind w:firstLine="170"/>
        <w:rPr>
          <w:rFonts w:asciiTheme="minorHAnsi" w:hAnsiTheme="minorHAnsi" w:cstheme="minorHAnsi"/>
          <w:sz w:val="28"/>
          <w:szCs w:val="28"/>
        </w:rPr>
        <w:sectPr>
          <w:headerReference w:type="even" r:id="rId7"/>
          <w:headerReference w:type="default" r:id="rId8"/>
          <w:footerReference w:type="default" r:id="rId9"/>
          <w:endnotePr>
            <w:numFmt w:val="decimal"/>
          </w:endnotePr>
          <w:type w:val="continuous"/>
          <w:pgSz w:w="11907" w:h="16840" w:code="9"/>
          <w:pgMar w:top="510" w:right="454" w:bottom="510" w:left="454" w:header="454" w:footer="0" w:gutter="0"/>
          <w:cols w:space="720"/>
        </w:sectPr>
      </w:pPr>
    </w:p>
    <w:p>
      <w:pPr>
        <w:spacing w:before="0" w:after="0" w:line="209" w:lineRule="auto"/>
        <w:rPr>
          <w:rFonts w:asciiTheme="minorHAnsi" w:hAnsiTheme="minorHAnsi" w:cstheme="minorHAnsi"/>
          <w:sz w:val="28"/>
          <w:szCs w:val="28"/>
        </w:rPr>
      </w:pPr>
      <w:r>
        <w:rPr>
          <w:rFonts w:asciiTheme="minorHAnsi" w:hAnsiTheme="minorHAnsi" w:cstheme="minorHAnsi"/>
          <w:sz w:val="28"/>
          <w:szCs w:val="28"/>
        </w:rPr>
        <w:lastRenderedPageBreak/>
        <w:t>Premesso che con lo scambio degli strumenti di ratifica, avvenuto in data odierna in Vaticano, sono entrati in vigore l’Accordo tra la Santa Sede e la Repubblica italiana dell’8 febbraio 1984, che apporta modificazioni al Concordato lateranense, ed il Protocollo del 18 novembre 1984, relativo alla materia di Cui all’art. 7 n. 6 di detto Accordo</w:t>
      </w:r>
      <w:r>
        <w:rPr>
          <w:rStyle w:val="Refdenotaalpie"/>
          <w:rFonts w:asciiTheme="minorHAnsi" w:hAnsiTheme="minorHAnsi" w:cstheme="minorHAnsi"/>
          <w:sz w:val="28"/>
          <w:szCs w:val="28"/>
        </w:rPr>
        <w:footnoteReference w:id="2"/>
      </w:r>
      <w:r>
        <w:rPr>
          <w:rFonts w:asciiTheme="minorHAnsi" w:hAnsiTheme="minorHAnsi" w:cstheme="minorHAnsi"/>
          <w:sz w:val="28"/>
          <w:szCs w:val="28"/>
        </w:rPr>
        <w:t>;…</w:t>
      </w:r>
    </w:p>
    <w:p>
      <w:pPr>
        <w:spacing w:before="0" w:after="0" w:line="209" w:lineRule="auto"/>
        <w:rPr>
          <w:rFonts w:asciiTheme="minorHAnsi" w:hAnsiTheme="minorHAnsi" w:cstheme="minorHAnsi"/>
          <w:sz w:val="28"/>
          <w:szCs w:val="28"/>
        </w:rPr>
      </w:pPr>
      <w:r>
        <w:rPr>
          <w:rFonts w:asciiTheme="minorHAnsi" w:hAnsiTheme="minorHAnsi" w:cstheme="minorHAnsi"/>
          <w:sz w:val="28"/>
          <w:szCs w:val="28"/>
        </w:rPr>
        <w:t>In virtù degli speciali poteri conferitigli a tal fine da Sua Santità il Papa Giovanni Paolo II, emana, per quanto attiene all’ordinamento canonico, le seguenti Norme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Titolo I</w:t>
      </w:r>
    </w:p>
    <w:p>
      <w:pPr>
        <w:pStyle w:val="centrato"/>
        <w:keepNext w:val="0"/>
        <w:spacing w:before="0" w:after="0" w:line="209" w:lineRule="auto"/>
        <w:rPr>
          <w:rFonts w:asciiTheme="minorHAnsi" w:hAnsiTheme="minorHAnsi" w:cstheme="minorHAnsi"/>
          <w:sz w:val="28"/>
          <w:szCs w:val="28"/>
        </w:rPr>
      </w:pPr>
      <w:r>
        <w:rPr>
          <w:rFonts w:asciiTheme="minorHAnsi" w:hAnsiTheme="minorHAnsi" w:cstheme="minorHAnsi"/>
          <w:sz w:val="28"/>
          <w:szCs w:val="28"/>
        </w:rPr>
        <w:t>ENTI ECCLESIASTICI CIVILMENTE RICONOSCIUTI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enti costituiti o approvati dall’autorità ecclesiastica, aventi sede in Italia, i quali abbiano fine di religione o di culto, possono essere riconosciuti come persone giuridiche agli effetti civili con decreto del Presidente della Repubblica, udito il parere del Consiglio di Stato.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w:t>
      </w:r>
      <w:r>
        <w:rPr>
          <w:rStyle w:val="Refdenotaalpie"/>
          <w:rFonts w:asciiTheme="minorHAnsi" w:hAnsiTheme="minorHAnsi" w:cstheme="minorHAnsi"/>
          <w:sz w:val="28"/>
          <w:szCs w:val="28"/>
        </w:rPr>
        <w:footnoteReference w:id="3"/>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Sono considerati aventi fine di religione o di culto gli enti che fanno parte della costituzione gerarchica della Chiesa, gli istituti religiosi e i seminari.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Per altre persone giuridiche canoniche, per le fondazioni e in genere per gli enti ecclesiastici che non abbiano personalità giuridica nell’ordinamento della Chiesa, il fine di religione o di culto è accertato di volta in volta, in conformità alle disposizioni dell’articolo 16.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L’accertamento di cui al comma precedente è diretto a verificare che il fine di religione o di culto sia costitutivo ed essenziale dell’ente, anche se connesso a finalità di carattere caritativo previste dal diritto canonico.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3</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riconoscimento della personalità giuridica è concesso su domanda di chi rappresenta l’ente secondo il diritto canonico, previo assenso dell’autorità ecclesiastica competente, ovvero su domanda di questa.</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4</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lastRenderedPageBreak/>
        <w:t>Gli enti ecclesiastici che hanno la personalità giuridica nell’ordinamento dello Stato assumono la qualifica di enti ecclesiastici civilmente riconosciuti.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5</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enti ecclesiastici civilmente riconosciuti devono iscriversi nel registro delle persone giuridiche.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Nel registro, con le indicazioni prescritte dagli articoli 33 e 34 del codice civile, devono risultare le norme di funzionamento e i poteri degli organi di rappresentanza dell’ente. Agli enti ecclesiastici non può comunque essere fatto, ai fini della registrazione, un trattamento diverso da quello previsto per le persone giuridiche private.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 provvedimenti previsti dagli articoli 19 e 20 delle presenti norme sono trasmessi d’ufficio per l’iscrizione nel registro delle persone giuridiche.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enti ecclesiastici già riconosciuti devono richiedere l’iscrizione nel registro delle persone giuridiche entro due anni dalla entrata in vigore delle presenti norme.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La Conferenza episcopale italiana deve richiedere l’iscrizione entro il 30 settembre 1986.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Istituti per il sostentamento del clero, le diocesi e le parrocchie devono richiedere l’iscrizione entro il 31 dicembre 1989.</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Decorsi tali termini, gli enti ecclesiastici di cui ai commi precedenti potranno concludere negozi giuridici solo previa iscrizione nel registro predetto.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7</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istituti religiosi e le società di vita apostolica non possono essere riconosciuti se non hanno la sede principale in Italia.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provincie italiane di istituti religiosi e di società di vita apostolica non possono essere riconosciute se la loro attività non è limitata al territorio dello Stato o a territori di missione.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enti di cui ai commi precedenti e le loro case non possono essere riconosciuti se non sono rappresentati, giuridicamente e di fatto, da cittadini italiani aventi il domicilio in Italia. Questa disposizione non si applica alle case generalizie e alle procure degli istituti religiosi e delle società di vita apostolica.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lastRenderedPageBreak/>
        <w:t>Resta salvo quanto dispone l’articolo 9.</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8</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istituti religiosi di diritto diocesano possono essere riconosciuti soltanto previo assenso della Santa Sede e sempre che sussistano garanzie di stabilità.</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9</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società di vita apostolica e le associazioni pubbliche di fedeli possono essere riconosciute soltanto previo assenso della Santa Sede e sempre che non abbiano carattere locale.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10</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associazioni costituite o approvate dall’autorità ecclesiastica, non riconoscibili a norma dell’articolo precedente, possono essere riconosciute alle condizioni previste dal codice civile.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Esse restano in tutto regolate dalle leggi civili, salvi la competenza dell’autorità ecclesiastica circa la loro attività di religione o di culto e i poteri della medesima in ordine agli organi statutari.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In ogni caso è applicabile l’articolo 3 delle presenti norme.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11</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riconoscimento delle chiese è ammesso solo se aperte al culto pubblico e non annesse ad altro ente ecclesiastico, e sempre che siano fornite dei mezzi sufficienti per la manutenzione e la officiatura.</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12</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fondazioni di culto possono essere riconosciute quando risultino la sufficienza dei mezzi per il raggiungimento dei fini e la rispondenza alle esigenze religiose della popolazione.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13</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La Conferenza episcopale italiana acquista la personalità giuridica civile, quale ente ecclesiastico, con l’entrata in vigore delle presenti norme.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14</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Dal 1º gennaio 1987, su richiesta dell’autorità ecclesiastica competente, può essere revocato il riconoscimento civile ai capitoli cattedrali o collegiali non più rispondenti a particolari esigenze o tradizioni religiose e culturali della popolazione.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Nuovi capitoli possono essere civilmente riconosciuti solo a seguito di soppressione o fusione di capitoli già esistenti o di revoca del loro riconoscimento civile.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lastRenderedPageBreak/>
        <w:t>Art. 15</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Gli enti ecclesiastici civilmente riconosciuti possono svolgere attività diverse da quelle di religione o di culto, alle condizioni previste dall’articolo 7, n. 3, secondo comma, dell’Accordo del 18 febbraio 1984.</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Agli effetti delle leggi civili si considerano comunque: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b/>
        <w:t>a) attività di religione o di culto quelle dirette all’esercizio del culto e alla cura delle anime, alla formazione del clero e dei religiosi, a scopi missionari, alla catechesi, all’educazione cristiana;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b/>
        <w:t>b) attività diverse da quelle di religione o di culto quelle di assistenza e beneficenza, istruzione, educazione e cultura, e, in ogni caso, le attività commerciali o a scopo di lucro.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17</w:t>
      </w:r>
    </w:p>
    <w:p>
      <w:pPr>
        <w:spacing w:before="0" w:line="209" w:lineRule="auto"/>
        <w:rPr>
          <w:rFonts w:asciiTheme="minorHAnsi" w:hAnsiTheme="minorHAnsi" w:cstheme="minorHAnsi"/>
          <w:sz w:val="28"/>
          <w:szCs w:val="28"/>
        </w:rPr>
      </w:pPr>
      <w:r>
        <w:rPr>
          <w:rFonts w:asciiTheme="minorHAnsi" w:hAnsiTheme="minorHAnsi" w:cstheme="minorHAnsi"/>
          <w:sz w:val="28"/>
          <w:szCs w:val="28"/>
        </w:rPr>
        <w:t>Per gli acquisti degli enti ecclesiastici civilmente riconosciuti si applicano le disposizioni delle leggi civili relative alle persone giuridiche</w:t>
      </w:r>
      <w:r>
        <w:rPr>
          <w:rStyle w:val="Refdenotaalpie"/>
          <w:rFonts w:asciiTheme="minorHAnsi" w:hAnsiTheme="minorHAnsi" w:cstheme="minorHAnsi"/>
          <w:sz w:val="28"/>
          <w:szCs w:val="28"/>
        </w:rPr>
        <w:footnoteReference w:id="4"/>
      </w:r>
      <w:r>
        <w:rPr>
          <w:rFonts w:asciiTheme="minorHAnsi" w:hAnsiTheme="minorHAnsi" w:cstheme="minorHAnsi"/>
          <w:sz w:val="28"/>
          <w:szCs w:val="28"/>
        </w:rPr>
        <w:t>.</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18</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Ai fini dell’invalidità o inefficacia di negozi giuridici posti in essere da enti ecclesiastici non possono essere opposte a terzi, che non ne fossero a conoscenza, le limitazioni dei poteri di rappresentanza o l’omissione di controlli canonici che non risultino dal codice di diritto canonico o dal registro delle persone giuridiche…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Titolo II</w:t>
      </w:r>
    </w:p>
    <w:p>
      <w:pPr>
        <w:pStyle w:val="centrato"/>
        <w:keepNext w:val="0"/>
        <w:spacing w:before="0" w:after="0" w:line="209" w:lineRule="auto"/>
        <w:rPr>
          <w:rFonts w:asciiTheme="minorHAnsi" w:hAnsiTheme="minorHAnsi" w:cstheme="minorHAnsi"/>
          <w:sz w:val="28"/>
          <w:szCs w:val="28"/>
        </w:rPr>
      </w:pPr>
      <w:r>
        <w:rPr>
          <w:rFonts w:asciiTheme="minorHAnsi" w:hAnsiTheme="minorHAnsi" w:cstheme="minorHAnsi"/>
          <w:sz w:val="28"/>
          <w:szCs w:val="28"/>
        </w:rPr>
        <w:t>BENI ECCLESIASTICI E SOSTENTAMENTO DEL CLERO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21</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In ogni diocesi viene eretto, entro il 30 settembre 1986, con decreto del Vescovo diocesano, l’Istituto per il sostentamento del clero previsto dal canone 1274 del codice di diritto canonico.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Mediante accordo tra i Vescovi interessati, possono essere costituiti Istituti a carattere interdiocesano, equiparati, ai fini delle presenti norme, a quelli diocesani.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 xml:space="preserve">La Conferenza episcopale italiana erige, entro lo stesso termine, l’Istituto centrale per il sostentamento del clero, che ha il fine di </w:t>
      </w:r>
      <w:r>
        <w:rPr>
          <w:rFonts w:asciiTheme="minorHAnsi" w:hAnsiTheme="minorHAnsi" w:cstheme="minorHAnsi"/>
          <w:sz w:val="28"/>
          <w:szCs w:val="28"/>
        </w:rPr>
        <w:lastRenderedPageBreak/>
        <w:t>integrare le risorse degli Istituti di cui ai commi precedenti.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22</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L’Istituto centrale e gli altri Istituti per il sostentamento del clero acquistano la personalità giuridica civile dalla data di pubblicazione nella Gazzetta ufficiale del decreto del Ministro dell’interno, che conferisce ad essi la qualifica di ente ecclesiastico civilmente riconosciuto.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decreto è emanato entro sessanta giorni dalla data di ricezione dei relativi provvedimenti canonici.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La procedura di cui ai commi precedenti si applica anche al riconoscimento civile dei decreti canonici di fusione di Istituti diocesani o di separazione di Istituti a carattere interdiocesano emanati entro il 30 settembre 1989.</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23</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Lo statuto di ciascun Istituto per il sostentamento del clero è emanato dal Vescovo diocesano in conformità alle disposizioni della Conferenza episcopale italiana.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In ogni caso, almeno un terzo dei membri del consiglio di amministrazione di ciascun Istituto è composto da rappresentanti designati dal clero diocesano su base elettiva.</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24</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Dal 1º gennaio 1987 ogni Istituto provvede, in conformità allo statuto, ad assicurare, nella misura periodicamente determinata dalla Conferenza episcopale italiana, il congruo e dignitoso sostentamento del clero che svolge servizio in favore della diocesi, salvo quanto previsto dall’articolo 51.</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Si intende per servizio svolto in favore della diocesi, ai sensi del canone 1274, paragrafo 1, del codice di diritto canonico, l’esercizio del ministero come definito nelle disposizioni emanate dalla Conferenza episcopale italiana.</w:t>
      </w:r>
    </w:p>
    <w:p>
      <w:pPr>
        <w:spacing w:before="0" w:line="209" w:lineRule="auto"/>
        <w:rPr>
          <w:rFonts w:asciiTheme="minorHAnsi" w:hAnsiTheme="minorHAnsi" w:cstheme="minorHAnsi"/>
          <w:sz w:val="28"/>
          <w:szCs w:val="28"/>
        </w:rPr>
      </w:pPr>
      <w:r>
        <w:rPr>
          <w:rFonts w:asciiTheme="minorHAnsi" w:hAnsiTheme="minorHAnsi" w:cstheme="minorHAnsi"/>
          <w:sz w:val="28"/>
          <w:szCs w:val="28"/>
        </w:rPr>
        <w:t xml:space="preserve">I sacerdoti che svolgono tale servizio hanno diritto a ricevere la remunerazione per il proprio sostentamento, nella misura indicata nel primo comma, da parte degli enti di cui agli articoli 33, lettera </w:t>
      </w:r>
      <w:r>
        <w:rPr>
          <w:rFonts w:asciiTheme="minorHAnsi" w:hAnsiTheme="minorHAnsi" w:cstheme="minorHAnsi"/>
          <w:i/>
          <w:sz w:val="28"/>
          <w:szCs w:val="28"/>
        </w:rPr>
        <w:t>a)</w:t>
      </w:r>
      <w:r>
        <w:rPr>
          <w:rFonts w:asciiTheme="minorHAnsi" w:hAnsiTheme="minorHAnsi" w:cstheme="minorHAnsi"/>
          <w:sz w:val="28"/>
          <w:szCs w:val="28"/>
        </w:rPr>
        <w:t xml:space="preserve"> e 34, primo comma, per quanto da ciascuno di essi dovuto…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27</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L’Istituto centrale e gli altri Istituti per il sostentamento del clero possono svolgere anche funzioni previdenziali integrative autonome per il clero.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lastRenderedPageBreak/>
        <w:t>Gli Istituti diocesani destinano, in conformità ad apposite norme statutarie, una quota delle proprie risorse per sovvenire alle necessità che si manifestino nei casi di abbandono della vita ecclesiastica da parte di coloro che non abbiano altre fonti sufficienti di reddito.</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28</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Con il decreto di erezione di ciascun Istituto sono contestualmente estinti la mensa vescovile, i benefici capitolari, parrocchiali, vicariali curati o comunque denominati, esistenti nella diocesi, e i loro patrimoni sono trasferiti di diritto all’Istituto stesso, restando peraltro estinti i diritti attribuiti ai beneficiari dal canone 1473 del codice di diritto canonico del 1917.</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Con il decreto predetto o con decreto integrativo sono elencati i benefici estinti a norma del comma precedente.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riconoscimento civile dei provvedimenti canonici di cui ai commi precedenti avviene con le modalità e nei termini previsti dall’articolo 22.</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L’Istituto succede ai benefici estinti in tutti i rapporti attivi e passivi.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29</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Con provvedimenti dell’autorità ecclesiastica competente, vengono determinate, entro il 30 settembre 1986, la sede e la denominazione delle diocesi e delle parrocchie costituite nell’ordinamento canonico.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Tali enti acquistano la personalità giuridica civile dalla data di pubblicazione nella Gazzetta ufficiale del decreto del Ministro dell’interno che conferisce alle singole diocesi e parrocchie la qualifica di ente ecclesiastico civilmente riconosciuto.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decreto è emanato entro sessanta giorni dalla data di ricezione dei relativi provvedimenti canonici.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Con provvedimenti del Vescovo diocesano gli edifici di culto, gli episcopi, le case canoniche, gli immobili adibiti ad attività educative o caritative o ad altre attività pastorali, i beni destinati interamente all’adempimento di oneri di culto ed ogni altro bene o attività che non fa parte della dote redditizia del beneficio, trasferiti all’Istituto a norma dell’articolo 28, sono individuati e assegnati a diocesi, parrocchie e capitoli non soppressi.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30</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lastRenderedPageBreak/>
        <w:t>Con l’acquisto, da parte della parrocchia, della personalità giuridica a norma dell’articolo 29, si estingue, ove esistente, la personalità giuridica della chiesa parrocchiale e il suo patrimonio è trasferito di diritto alla parrocchia, che succede all’ente estinto in tutti i rapporti attivi e passivi.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Con il provvedimento di cui al primo comma dell’articolo 29, l’autorità ecclesiastica competente comunica anche l’elenco delle chiese parrocchiali estinte.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Tali enti perdono la personalità giuridica civile dalla data di pubblicazione nella Gazzetta ufficiale del decreto del Ministro dell’interno, che priva le singole chiese parrocchiali della qualifica di ente ecclesiastico civilmente riconosciuto.</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Il decreto è emanato entro sessanta giorni dalla data di ricezione dei relativi provvedimenti canonici.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disposizioni dei commi precedenti si applicano anche all’estinzione di chiese cattedrali e al trasferimento dei loro patrimoni alle rispettive diocesi qualora l’autorità ecclesiastica adotti i relativi provvedimenti canonici…</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36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Per le alienazioni e per gli altri negozi di cui al canone 1295 del codice di diritto canonico, di valore almeno tre volte superiore a quello massimo stabilito dalla Conferenza episcopale italiana ai sensi del canone 1292, paragrafi 1 e 2, l’Istituto diocesano per il sostentamento del clero dovrà produrre alla Santa Sede il parere della Conferenza episcopale italiana ai fini della prescritta autorizzazione…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46</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 decorrere dal periodo d’imposta 1989 le persone fisiche possono dedurre dal proprio reddito complessivo le erogazioni liberali in denaro, fino all’importo di lire due milioni, a favore dell’Istituto centrale per il sostentamento del clero della Chiesa cattolica italiana.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relative modalità sono determinate con decreto del Ministro delle finanze.</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47</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 xml:space="preserve">Le somme da corrispondere a far tempo dal 1º gennaio 1987 e sino a tutto il 1989 alla Conferenza episcopale italiana e al Fondo edifici di culto in forza delle presenti norme sono iscritte in appositi capitoli dello stato di </w:t>
      </w:r>
      <w:r>
        <w:rPr>
          <w:rFonts w:asciiTheme="minorHAnsi" w:hAnsiTheme="minorHAnsi" w:cstheme="minorHAnsi"/>
          <w:sz w:val="28"/>
          <w:szCs w:val="28"/>
        </w:rPr>
        <w:lastRenderedPageBreak/>
        <w:t>previsione del Ministero del tesoro, verso contestuale soppressione del capitolo n. 4493 del medesimo stato di previsione, dei capitoli n. 2001, n. 2002, n. 2031 e n. 2071 dello stato di previsione del Ministero dell’interno, nonché del capitolo n. 7871 dello stato di previsione del Ministero dei lavori pubblici.</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 decorrere dall’anno finanziario 1990 una quota pari all’otto per mille dell’imposta sul reddito delle persone fisiche, liquidata dagli uffici sulla base delle dichiarazioni annuali, è destinata, in parte, a scopi di interesse sociale o di carattere umanitario a diretta gestione statale e, in parte, a scopi di carattere religioso a diretta gestione della Chiesa cattolica.</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destinazioni di cui al comma precedente vengono stabilite sulla base delle scelte espresse dai contribuenti in sede di dichiarazione annuale dei redditi. In caso di scelte non espresse da parte dei contribuenti, la destinazione si stabilisce in proporzione alle scelte espresse.</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Per gli anni finanziari 1990, 1991, e 1992 lo Stato corrisponde, entro il mese di marzo di ciascun anno, alla Conferenza episcopale italiana, a titolo di anticipo e salvo conguaglio complessivo entro il mese di giugno 1996, una somma pari al contributo alla stessa corrisposto nell’anno 1989, a norma dell’articolo 50.</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A decorrere dall’anno finanziario 1993, lo Stato corrisponde annualmente, entro il mese di giugno, alla Conferenza episcopale italiana, a titolo di anticipo e salvo conguaglio entro il mese di gennaio del terzo periodo di imposta successivo, una somma calcolata sull’importo liquidato dagli uffici sulla base delle dichiarazioni annuali relative al terzo periodo d’imposta precedente con destinazione alla Chiesa cattolica.</w:t>
      </w:r>
    </w:p>
    <w:p>
      <w:pPr>
        <w:pStyle w:val="articulo"/>
        <w:spacing w:line="209" w:lineRule="auto"/>
        <w:rPr>
          <w:rFonts w:asciiTheme="minorHAnsi" w:hAnsiTheme="minorHAnsi" w:cstheme="minorHAnsi"/>
          <w:sz w:val="28"/>
          <w:szCs w:val="28"/>
        </w:rPr>
      </w:pPr>
      <w:r>
        <w:rPr>
          <w:rFonts w:asciiTheme="minorHAnsi" w:hAnsiTheme="minorHAnsi" w:cstheme="minorHAnsi"/>
          <w:sz w:val="28"/>
          <w:szCs w:val="28"/>
        </w:rPr>
        <w:t>Art. 48</w:t>
      </w:r>
    </w:p>
    <w:p>
      <w:pPr>
        <w:spacing w:before="20" w:after="20" w:line="209" w:lineRule="auto"/>
        <w:ind w:firstLine="170"/>
        <w:rPr>
          <w:rFonts w:asciiTheme="minorHAnsi" w:hAnsiTheme="minorHAnsi" w:cstheme="minorHAnsi"/>
          <w:sz w:val="28"/>
          <w:szCs w:val="28"/>
        </w:rPr>
      </w:pPr>
      <w:r>
        <w:rPr>
          <w:rFonts w:asciiTheme="minorHAnsi" w:hAnsiTheme="minorHAnsi" w:cstheme="minorHAnsi"/>
          <w:sz w:val="28"/>
          <w:szCs w:val="28"/>
        </w:rPr>
        <w:t>Le quote di cui all’articolo 47, secondo comma, sono utilizzate: dallo Stato per interventi straordinari per fame nel mondo, calamità naturali, assistenza ai rifugiati, conservazione di beni culturali; dalla Chiesa cattolica per esigenze di culto della popolazione, sostentamento clero, interventi caritativi a favore della collettività nazionale o di Paesi del terzo mondo…</w:t>
      </w:r>
    </w:p>
    <w:p>
      <w:pPr>
        <w:widowControl w:val="0"/>
        <w:spacing w:before="20" w:after="20" w:line="209" w:lineRule="auto"/>
        <w:ind w:firstLine="170"/>
        <w:rPr>
          <w:rFonts w:asciiTheme="minorHAnsi" w:hAnsiTheme="minorHAnsi" w:cstheme="minorHAnsi"/>
          <w:sz w:val="28"/>
          <w:szCs w:val="28"/>
        </w:rPr>
        <w:sectPr>
          <w:endnotePr>
            <w:numFmt w:val="decimal"/>
          </w:endnotePr>
          <w:type w:val="continuous"/>
          <w:pgSz w:w="11907" w:h="16840" w:code="9"/>
          <w:pgMar w:top="510" w:right="340" w:bottom="510" w:left="340" w:header="454" w:footer="0" w:gutter="0"/>
          <w:cols w:num="2" w:space="255"/>
        </w:sectPr>
      </w:pPr>
      <w:r>
        <w:rPr>
          <w:rFonts w:asciiTheme="minorHAnsi" w:hAnsiTheme="minorHAnsi" w:cstheme="minorHAnsi"/>
          <w:sz w:val="28"/>
          <w:szCs w:val="28"/>
        </w:rPr>
        <w:t>Dal Vaticano, 3 giugno 1985.</w:t>
      </w:r>
      <w:bookmarkStart w:id="0" w:name="_GoBack"/>
    </w:p>
    <w:bookmarkEnd w:id="0"/>
    <w:p>
      <w:pPr>
        <w:widowControl w:val="0"/>
        <w:spacing w:before="40" w:after="20" w:line="209" w:lineRule="auto"/>
        <w:ind w:firstLine="0"/>
        <w:rPr>
          <w:rFonts w:asciiTheme="minorHAnsi" w:hAnsiTheme="minorHAnsi" w:cstheme="minorHAnsi"/>
          <w:sz w:val="28"/>
          <w:szCs w:val="28"/>
        </w:rPr>
      </w:pPr>
    </w:p>
    <w:sectPr>
      <w:headerReference w:type="even" r:id="rId10"/>
      <w:headerReference w:type="default" r:id="rId11"/>
      <w:footerReference w:type="default" r:id="rId12"/>
      <w:headerReference w:type="first" r:id="rId13"/>
      <w:endnotePr>
        <w:numFmt w:val="decimal"/>
      </w:endnotePr>
      <w:type w:val="continuous"/>
      <w:pgSz w:w="11907" w:h="16840" w:code="9"/>
      <w:pgMar w:top="510" w:right="454" w:bottom="510" w:left="454" w:header="454" w:footer="0" w:gutter="0"/>
      <w:cols w:num="2" w:space="2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before="0" w:after="0" w:line="240" w:lineRule="auto"/>
      </w:pPr>
      <w:r>
        <w:separator/>
      </w:r>
    </w:p>
  </w:endnote>
  <w:endnote w:type="continuationSeparator" w:id="1">
    <w:p>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before="0" w:after="0" w:line="12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widowControl w:val="0"/>
      <w:spacing w:line="240" w:lineRule="exact"/>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before="0" w:after="0" w:line="200" w:lineRule="atLeast"/>
        <w:ind w:firstLine="0"/>
      </w:pPr>
      <w:r>
        <w:separator/>
      </w:r>
    </w:p>
  </w:footnote>
  <w:footnote w:type="continuationSeparator" w:id="1">
    <w:p>
      <w:pPr>
        <w:spacing w:before="0" w:after="0" w:line="200" w:lineRule="atLeast"/>
        <w:ind w:firstLine="0"/>
        <w:jc w:val="center"/>
      </w:pPr>
      <w:r>
        <w:continuationSeparator/>
      </w:r>
    </w:p>
  </w:footnote>
  <w:footnote w:id="2">
    <w:p>
      <w:pPr>
        <w:pStyle w:val="Textonotapie"/>
        <w:rPr>
          <w:rFonts w:asciiTheme="minorHAnsi" w:hAnsiTheme="minorHAnsi" w:cstheme="minorHAnsi"/>
          <w:szCs w:val="20"/>
        </w:rPr>
      </w:pPr>
      <w:r>
        <w:rPr>
          <w:rStyle w:val="Refdenotaalpie"/>
          <w:rFonts w:asciiTheme="minorHAnsi" w:hAnsiTheme="minorHAnsi" w:cstheme="minorHAnsi"/>
          <w:sz w:val="20"/>
          <w:szCs w:val="20"/>
        </w:rPr>
        <w:footnoteRef/>
      </w:r>
      <w:r>
        <w:rPr>
          <w:rFonts w:asciiTheme="minorHAnsi" w:hAnsiTheme="minorHAnsi" w:cstheme="minorHAnsi"/>
          <w:szCs w:val="20"/>
        </w:rPr>
        <w:t xml:space="preserve"> 6. All'atto della firma del presente Accordo, le Parti istituiscono una Commissione paritetica per la formulazione delle norme da sottoporre alla loro approvazione per la disciplina di tutta la materia degli enti e beni ecclesiastici e per la revisione degli impegni finanziari dello Stato …</w:t>
      </w:r>
    </w:p>
  </w:footnote>
  <w:footnote w:id="3">
    <w:p>
      <w:pPr>
        <w:pStyle w:val="Textonotapie"/>
        <w:rPr>
          <w:rFonts w:asciiTheme="minorHAnsi" w:hAnsiTheme="minorHAnsi" w:cstheme="minorHAnsi"/>
          <w:szCs w:val="20"/>
        </w:rPr>
      </w:pPr>
      <w:r>
        <w:rPr>
          <w:rStyle w:val="Refdenotaalpie"/>
          <w:rFonts w:asciiTheme="minorHAnsi" w:hAnsiTheme="minorHAnsi" w:cstheme="minorHAnsi"/>
          <w:sz w:val="20"/>
          <w:szCs w:val="20"/>
        </w:rPr>
        <w:footnoteRef/>
      </w:r>
      <w:r>
        <w:rPr>
          <w:rFonts w:asciiTheme="minorHAnsi" w:hAnsiTheme="minorHAnsi" w:cstheme="minorHAnsi"/>
          <w:szCs w:val="20"/>
        </w:rPr>
        <w:t xml:space="preserve"> Vid. lo scambio di Note del 24 febbraio 1997, Allegato 2, III.</w:t>
      </w:r>
    </w:p>
  </w:footnote>
  <w:footnote w:id="4">
    <w:p>
      <w:pPr>
        <w:pStyle w:val="Textonotapie"/>
        <w:rPr>
          <w:rFonts w:asciiTheme="minorHAnsi" w:hAnsiTheme="minorHAnsi" w:cstheme="minorHAnsi"/>
          <w:szCs w:val="20"/>
        </w:rPr>
      </w:pPr>
      <w:r>
        <w:rPr>
          <w:rStyle w:val="Refdenotaalpie"/>
          <w:rFonts w:asciiTheme="minorHAnsi" w:hAnsiTheme="minorHAnsi" w:cstheme="minorHAnsi"/>
          <w:sz w:val="20"/>
          <w:szCs w:val="20"/>
        </w:rPr>
        <w:footnoteRef/>
      </w:r>
      <w:r>
        <w:rPr>
          <w:rFonts w:asciiTheme="minorHAnsi" w:hAnsiTheme="minorHAnsi" w:cstheme="minorHAnsi"/>
          <w:szCs w:val="20"/>
        </w:rPr>
        <w:t xml:space="preserve"> Vid. Legge 127/1997, art. 13, che abroga l’art. 17 del Codice civile e quindi i controlli statali preventivi relativi all’acquisto di beni immobili da parte delle persone giuridiche.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framePr w:wrap="around"/>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11</w:t>
    </w:r>
    <w:r>
      <w:rPr>
        <w:rStyle w:val="Nmerodepgina"/>
      </w:rPr>
      <w:fldChar w:fldCharType="end"/>
    </w:r>
  </w:p>
  <w:p>
    <w:pPr>
      <w:pStyle w:val="Encabezado"/>
      <w:framePr w:wrap="aroun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framePr w:wrap="around" w:hAnchor="page" w:x="11315" w:y="-1704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framePr w:wrap="around"/>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framePr w:wrap="aroun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framePr w:wrap="aroun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framePr w:wrap="aroun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09"/>
  <w:autoHyphenation/>
  <w:hyphenationZone w:val="425"/>
  <w:drawingGridHorizontalSpacing w:val="187"/>
  <w:displayVerticalDrawingGridEvery w:val="2"/>
  <w:noPunctuationKerning/>
  <w:characterSpacingControl w:val="doNotCompress"/>
  <w:savePreviewPicture/>
  <w:hdrShapeDefaults>
    <o:shapedefaults v:ext="edit" spidmax="3074"/>
  </w:hdrShapeDefault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after="100" w:line="312" w:lineRule="auto"/>
      <w:ind w:firstLine="284"/>
      <w:jc w:val="both"/>
      <w:textAlignment w:val="baseline"/>
    </w:pPr>
    <w:rPr>
      <w:rFonts w:ascii="Verdana" w:hAnsi="Verdana"/>
      <w:sz w:val="24"/>
      <w:szCs w:val="24"/>
      <w:lang w:eastAsia="es-ES"/>
    </w:rPr>
  </w:style>
  <w:style w:type="paragraph" w:styleId="Ttulo1">
    <w:name w:val="heading 1"/>
    <w:basedOn w:val="Normal"/>
    <w:next w:val="Normal"/>
    <w:qFormat/>
    <w:pPr>
      <w:keepNext/>
      <w:spacing w:before="240" w:after="200"/>
      <w:ind w:firstLine="0"/>
      <w:jc w:val="center"/>
      <w:outlineLvl w:val="0"/>
    </w:pPr>
    <w:rPr>
      <w:rFonts w:cs="Arial"/>
      <w:b/>
      <w:bCs/>
      <w:caps/>
      <w:kern w:val="32"/>
      <w:lang w:eastAsia="en-US"/>
    </w:rPr>
  </w:style>
  <w:style w:type="paragraph" w:styleId="Ttulo2">
    <w:name w:val="heading 2"/>
    <w:basedOn w:val="Normal"/>
    <w:next w:val="Normal"/>
    <w:autoRedefine/>
    <w:qFormat/>
    <w:pPr>
      <w:keepNext/>
      <w:spacing w:before="160"/>
      <w:outlineLvl w:val="1"/>
    </w:pPr>
    <w:rPr>
      <w:smallCaps/>
    </w:rPr>
  </w:style>
  <w:style w:type="paragraph" w:styleId="Ttulo3">
    <w:name w:val="heading 3"/>
    <w:basedOn w:val="Normal"/>
    <w:next w:val="Normal"/>
    <w:qFormat/>
    <w:pPr>
      <w:keepNext/>
      <w:spacing w:before="140"/>
      <w:outlineLvl w:val="2"/>
    </w:pPr>
    <w:rPr>
      <w:rFonts w:cs="Arial"/>
      <w:b/>
      <w:bCs/>
      <w:szCs w:val="26"/>
      <w:lang w:eastAsia="fr-FR"/>
    </w:rPr>
  </w:style>
  <w:style w:type="paragraph" w:styleId="Ttulo4">
    <w:name w:val="heading 4"/>
    <w:basedOn w:val="Normal"/>
    <w:next w:val="Normal"/>
    <w:qFormat/>
    <w:pPr>
      <w:keepNext/>
      <w:spacing w:before="100"/>
      <w:ind w:left="352"/>
      <w:outlineLvl w:val="3"/>
    </w:pPr>
    <w:rPr>
      <w:i/>
    </w:rPr>
  </w:style>
  <w:style w:type="paragraph" w:styleId="Ttulo5">
    <w:name w:val="heading 5"/>
    <w:basedOn w:val="Normal"/>
    <w:next w:val="Normal"/>
    <w:autoRedefine/>
    <w:qFormat/>
    <w:pPr>
      <w:keepNext/>
      <w:spacing w:before="100" w:after="60" w:line="280" w:lineRule="atLeast"/>
      <w:ind w:firstLine="0"/>
      <w:jc w:val="right"/>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firstLine="0"/>
      <w:jc w:val="right"/>
    </w:pPr>
    <w:rPr>
      <w:i/>
      <w:sz w:val="32"/>
    </w:rPr>
  </w:style>
  <w:style w:type="paragraph" w:customStyle="1" w:styleId="2">
    <w:name w:val="2"/>
    <w:basedOn w:val="Normal"/>
    <w:pPr>
      <w:spacing w:before="0" w:after="0"/>
      <w:ind w:firstLine="567"/>
      <w:jc w:val="left"/>
    </w:pPr>
    <w:rPr>
      <w:sz w:val="36"/>
    </w:rPr>
  </w:style>
  <w:style w:type="paragraph" w:customStyle="1" w:styleId="3">
    <w:name w:val="3"/>
    <w:basedOn w:val="2"/>
    <w:pPr>
      <w:ind w:firstLine="0"/>
      <w:jc w:val="center"/>
    </w:pPr>
    <w:rPr>
      <w:b/>
    </w:rPr>
  </w:style>
  <w:style w:type="paragraph" w:customStyle="1" w:styleId="4">
    <w:name w:val="4"/>
    <w:basedOn w:val="Normal"/>
    <w:pPr>
      <w:widowControl w:val="0"/>
      <w:kinsoku w:val="0"/>
      <w:spacing w:before="0" w:after="0" w:line="240" w:lineRule="auto"/>
      <w:ind w:firstLine="0"/>
      <w:jc w:val="center"/>
    </w:pPr>
    <w:rPr>
      <w:color w:val="FF0000"/>
      <w:sz w:val="36"/>
    </w:rPr>
  </w:style>
  <w:style w:type="paragraph" w:customStyle="1" w:styleId="5">
    <w:name w:val="5"/>
    <w:basedOn w:val="Normal"/>
    <w:pPr>
      <w:widowControl w:val="0"/>
      <w:kinsoku w:val="0"/>
      <w:spacing w:before="0" w:after="0" w:line="240" w:lineRule="auto"/>
      <w:ind w:left="567" w:hanging="567"/>
      <w:jc w:val="left"/>
    </w:pPr>
    <w:rPr>
      <w:sz w:val="36"/>
    </w:rPr>
  </w:style>
  <w:style w:type="paragraph" w:customStyle="1" w:styleId="6">
    <w:name w:val="6"/>
    <w:basedOn w:val="Normal"/>
    <w:pPr>
      <w:widowControl w:val="0"/>
      <w:kinsoku w:val="0"/>
      <w:spacing w:before="240" w:after="0" w:line="240" w:lineRule="auto"/>
      <w:ind w:firstLine="567"/>
    </w:pPr>
    <w:rPr>
      <w:rFonts w:ascii="Brush Script"/>
      <w:color w:val="FF0000"/>
      <w:sz w:val="36"/>
    </w:rPr>
  </w:style>
  <w:style w:type="paragraph" w:customStyle="1" w:styleId="psalm">
    <w:name w:val="psalm"/>
    <w:basedOn w:val="Normal"/>
    <w:pPr>
      <w:spacing w:before="60" w:after="60" w:line="240" w:lineRule="atLeast"/>
      <w:ind w:left="567" w:hanging="567"/>
      <w:jc w:val="left"/>
    </w:pPr>
    <w:rPr>
      <w:sz w:val="36"/>
    </w:rPr>
  </w:style>
  <w:style w:type="paragraph" w:customStyle="1" w:styleId="7">
    <w:name w:val="7"/>
    <w:basedOn w:val="psalm"/>
    <w:pPr>
      <w:ind w:left="0" w:firstLine="0"/>
    </w:pPr>
    <w:rPr>
      <w:b/>
    </w:rPr>
  </w:style>
  <w:style w:type="paragraph" w:customStyle="1" w:styleId="8">
    <w:name w:val="8"/>
    <w:basedOn w:val="Normal"/>
    <w:pPr>
      <w:widowControl w:val="0"/>
      <w:kinsoku w:val="0"/>
      <w:spacing w:after="80" w:line="240" w:lineRule="auto"/>
      <w:ind w:firstLine="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widowControl w:val="0"/>
      <w:kinsoku w:val="0"/>
      <w:spacing w:before="0" w:after="0" w:line="240" w:lineRule="auto"/>
      <w:ind w:left="567" w:hanging="567"/>
      <w:jc w:val="left"/>
    </w:pPr>
    <w:rPr>
      <w:sz w:val="36"/>
    </w:rPr>
  </w:style>
  <w:style w:type="paragraph" w:customStyle="1" w:styleId="antifona">
    <w:name w:val="antifona"/>
    <w:basedOn w:val="Normal"/>
    <w:pPr>
      <w:spacing w:before="0" w:after="0" w:line="240" w:lineRule="auto"/>
      <w:ind w:firstLine="567"/>
      <w:jc w:val="left"/>
    </w:pPr>
    <w:rPr>
      <w:rFonts w:ascii="Times New Roman" w:hAnsi="Times New Roman"/>
      <w:sz w:val="36"/>
    </w:rPr>
  </w:style>
  <w:style w:type="paragraph" w:customStyle="1" w:styleId="articulo">
    <w:name w:val="articulo"/>
    <w:basedOn w:val="Normal"/>
    <w:autoRedefine/>
    <w:pPr>
      <w:spacing w:before="20" w:after="0" w:line="200" w:lineRule="atLeast"/>
      <w:ind w:firstLine="0"/>
      <w:jc w:val="center"/>
    </w:pPr>
    <w:rPr>
      <w:rFonts w:ascii="Calibri" w:hAnsi="Calibri"/>
      <w:smallCaps/>
    </w:rPr>
  </w:style>
  <w:style w:type="paragraph" w:customStyle="1" w:styleId="canon">
    <w:name w:val="canon"/>
    <w:basedOn w:val="Normal"/>
    <w:pPr>
      <w:keepNext/>
      <w:spacing w:before="160"/>
      <w:ind w:firstLine="0"/>
      <w:jc w:val="center"/>
    </w:pPr>
    <w:rPr>
      <w:b/>
    </w:rPr>
  </w:style>
  <w:style w:type="paragraph" w:customStyle="1" w:styleId="centrato">
    <w:name w:val="centrato"/>
    <w:basedOn w:val="Normal"/>
    <w:autoRedefine/>
    <w:pPr>
      <w:keepNext/>
      <w:spacing w:before="80" w:after="60" w:line="288" w:lineRule="auto"/>
      <w:ind w:firstLine="0"/>
      <w:jc w:val="center"/>
    </w:pPr>
    <w:rPr>
      <w:noProof/>
    </w:rPr>
  </w:style>
  <w:style w:type="paragraph" w:customStyle="1" w:styleId="da">
    <w:name w:val="día"/>
    <w:basedOn w:val="Normal"/>
    <w:pPr>
      <w:widowControl w:val="0"/>
      <w:kinsoku w:val="0"/>
      <w:spacing w:after="80" w:line="240" w:lineRule="auto"/>
      <w:ind w:firstLine="0"/>
      <w:jc w:val="center"/>
    </w:pPr>
    <w:rPr>
      <w:rFonts w:ascii="Times"/>
      <w:b/>
      <w:caps/>
      <w:color w:val="FF0000"/>
    </w:rPr>
  </w:style>
  <w:style w:type="paragraph" w:styleId="Encabezado">
    <w:name w:val="header"/>
    <w:basedOn w:val="Normal"/>
    <w:autoRedefine/>
    <w:pPr>
      <w:framePr w:wrap="around" w:vAnchor="text" w:hAnchor="margin" w:xAlign="right" w:y="1"/>
      <w:widowControl w:val="0"/>
      <w:tabs>
        <w:tab w:val="center" w:pos="4520"/>
        <w:tab w:val="right" w:pos="9060"/>
      </w:tabs>
      <w:spacing w:before="20" w:after="20" w:line="240" w:lineRule="auto"/>
      <w:ind w:firstLine="0"/>
      <w:jc w:val="center"/>
    </w:pPr>
    <w:rPr>
      <w:rFonts w:ascii="Arial" w:hAnsi="Arial"/>
      <w:noProof/>
      <w:spacing w:val="60"/>
      <w:sz w:val="16"/>
      <w:szCs w:val="16"/>
    </w:rPr>
  </w:style>
  <w:style w:type="paragraph" w:customStyle="1" w:styleId="partedehora">
    <w:name w:val="parte de hora"/>
    <w:basedOn w:val="Normal"/>
    <w:pPr>
      <w:widowControl w:val="0"/>
      <w:kinsoku w:val="0"/>
      <w:spacing w:after="80" w:line="240" w:lineRule="auto"/>
      <w:ind w:firstLine="0"/>
      <w:jc w:val="center"/>
    </w:pPr>
    <w:rPr>
      <w:color w:val="FF0000"/>
      <w:lang w:val="en-GB"/>
    </w:rPr>
  </w:style>
  <w:style w:type="paragraph" w:customStyle="1" w:styleId="EstilopartedehoraCentradoDerecha-001cm">
    <w:name w:val="Estilo parte de hora + Centrado Derecha:  -001 cm"/>
    <w:basedOn w:val="partedehora"/>
  </w:style>
  <w:style w:type="paragraph" w:styleId="Firma">
    <w:name w:val="Signature"/>
    <w:basedOn w:val="Normal"/>
    <w:pPr>
      <w:widowControl w:val="0"/>
      <w:kinsoku w:val="0"/>
      <w:spacing w:after="80" w:line="240" w:lineRule="auto"/>
      <w:ind w:left="4253" w:firstLine="0"/>
    </w:pPr>
  </w:style>
  <w:style w:type="paragraph" w:customStyle="1" w:styleId="firmas">
    <w:name w:val="firmas"/>
    <w:basedOn w:val="Normal"/>
    <w:pPr>
      <w:tabs>
        <w:tab w:val="center" w:pos="4536"/>
        <w:tab w:val="right" w:pos="9356"/>
      </w:tabs>
      <w:ind w:firstLine="0"/>
    </w:pPr>
  </w:style>
  <w:style w:type="paragraph" w:customStyle="1" w:styleId="hora">
    <w:name w:val="hora"/>
    <w:basedOn w:val="Normal"/>
    <w:pPr>
      <w:widowControl w:val="0"/>
      <w:kinsoku w:val="0"/>
      <w:spacing w:after="80" w:line="240" w:lineRule="auto"/>
      <w:ind w:firstLine="0"/>
      <w:jc w:val="center"/>
    </w:pPr>
    <w:rPr>
      <w:b/>
    </w:rPr>
  </w:style>
  <w:style w:type="paragraph" w:customStyle="1" w:styleId="Indirizzo">
    <w:name w:val="Indirizzo"/>
    <w:basedOn w:val="Normal"/>
    <w:pPr>
      <w:keepNext/>
      <w:widowControl w:val="0"/>
      <w:spacing w:before="0" w:after="0" w:line="240" w:lineRule="auto"/>
      <w:ind w:firstLine="0"/>
    </w:pPr>
  </w:style>
  <w:style w:type="paragraph" w:customStyle="1" w:styleId="Iustelnormal">
    <w:name w:val="Iustel normal"/>
    <w:basedOn w:val="Normal"/>
    <w:pPr>
      <w:widowControl w:val="0"/>
      <w:kinsoku w:val="0"/>
      <w:spacing w:after="0" w:line="240" w:lineRule="auto"/>
      <w:ind w:firstLine="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trapequea">
    <w:name w:val="letra pequeña"/>
    <w:basedOn w:val="Normal"/>
    <w:autoRedefine/>
    <w:pPr>
      <w:spacing w:before="60" w:after="80" w:line="240" w:lineRule="auto"/>
      <w:ind w:left="567" w:firstLine="170"/>
    </w:pPr>
    <w:rPr>
      <w:sz w:val="22"/>
    </w:rPr>
  </w:style>
  <w:style w:type="paragraph" w:styleId="Lista">
    <w:name w:val="List"/>
    <w:basedOn w:val="Normal"/>
    <w:pPr>
      <w:widowControl w:val="0"/>
      <w:kinsoku w:val="0"/>
      <w:spacing w:before="0" w:after="120" w:line="240" w:lineRule="auto"/>
    </w:pPr>
  </w:style>
  <w:style w:type="character" w:styleId="Nmerodepgina">
    <w:name w:val="page number"/>
    <w:rPr>
      <w:rFonts w:ascii="Verdana" w:hAnsi="Verdana"/>
      <w:sz w:val="18"/>
    </w:rPr>
  </w:style>
  <w:style w:type="paragraph" w:styleId="Piedepgina">
    <w:name w:val="footer"/>
    <w:basedOn w:val="Normal"/>
    <w:pPr>
      <w:tabs>
        <w:tab w:val="center" w:pos="4252"/>
        <w:tab w:val="right" w:pos="8504"/>
      </w:tabs>
    </w:pPr>
    <w:rPr>
      <w:sz w:val="20"/>
    </w:rPr>
  </w:style>
  <w:style w:type="paragraph" w:customStyle="1" w:styleId="responsorium">
    <w:name w:val="responsorium"/>
    <w:basedOn w:val="firmas"/>
    <w:pPr>
      <w:tabs>
        <w:tab w:val="clear" w:pos="9356"/>
        <w:tab w:val="right" w:pos="8505"/>
      </w:tabs>
    </w:pPr>
    <w:rPr>
      <w:color w:val="FF0000"/>
      <w:sz w:val="36"/>
    </w:rPr>
  </w:style>
  <w:style w:type="paragraph" w:customStyle="1" w:styleId="semana-mes">
    <w:name w:val="semana-mes"/>
    <w:basedOn w:val="Normal"/>
    <w:pPr>
      <w:widowControl w:val="0"/>
      <w:kinsoku w:val="0"/>
      <w:spacing w:after="80" w:line="240" w:lineRule="auto"/>
      <w:ind w:firstLine="0"/>
      <w:jc w:val="center"/>
    </w:pPr>
    <w:rPr>
      <w:caps/>
    </w:rPr>
  </w:style>
  <w:style w:type="paragraph" w:customStyle="1" w:styleId="senzarientro">
    <w:name w:val="senza rientro"/>
    <w:basedOn w:val="Normal"/>
    <w:next w:val="Normal"/>
    <w:pPr>
      <w:spacing w:before="80"/>
      <w:ind w:firstLine="0"/>
    </w:pPr>
    <w:rPr>
      <w:rFonts w:cs="Garamond"/>
    </w:rPr>
  </w:style>
  <w:style w:type="paragraph" w:styleId="Textoindependiente">
    <w:name w:val="Body Text"/>
    <w:basedOn w:val="Normal"/>
    <w:pPr>
      <w:spacing w:before="0" w:after="0" w:line="240" w:lineRule="auto"/>
      <w:ind w:firstLine="0"/>
    </w:pPr>
    <w:rPr>
      <w:rFonts w:eastAsia="Times"/>
      <w:szCs w:val="20"/>
    </w:rPr>
  </w:style>
  <w:style w:type="paragraph" w:styleId="Sangradetextonormal">
    <w:name w:val="Body Text Indent"/>
    <w:basedOn w:val="Normal"/>
    <w:autoRedefine/>
    <w:pPr>
      <w:widowControl w:val="0"/>
      <w:tabs>
        <w:tab w:val="left" w:pos="1152"/>
        <w:tab w:val="left" w:pos="2448"/>
        <w:tab w:val="left" w:pos="8784"/>
      </w:tabs>
      <w:spacing w:before="0" w:after="960" w:line="240" w:lineRule="atLeast"/>
      <w:ind w:left="2448" w:firstLine="0"/>
      <w:jc w:val="left"/>
    </w:pPr>
    <w:rPr>
      <w:szCs w:val="20"/>
      <w:lang w:eastAsia="it-IT"/>
    </w:rPr>
  </w:style>
  <w:style w:type="paragraph" w:styleId="Textonotapie">
    <w:name w:val="footnote text"/>
    <w:basedOn w:val="Normal"/>
    <w:autoRedefine/>
    <w:pPr>
      <w:widowControl w:val="0"/>
      <w:spacing w:before="40" w:after="40" w:line="200" w:lineRule="exact"/>
      <w:ind w:firstLine="0"/>
    </w:pPr>
    <w:rPr>
      <w:sz w:val="20"/>
    </w:rPr>
  </w:style>
  <w:style w:type="paragraph" w:customStyle="1" w:styleId="Ad">
    <w:name w:val="Ad"/>
    <w:basedOn w:val="Normal"/>
    <w:next w:val="Normal"/>
    <w:pPr>
      <w:keepNext/>
      <w:spacing w:before="0" w:after="0" w:line="240" w:lineRule="auto"/>
      <w:ind w:firstLine="0"/>
      <w:jc w:val="center"/>
    </w:pPr>
    <w:rPr>
      <w:rFonts w:ascii="Times New Roman" w:hAnsi="Times New Roman"/>
      <w:b/>
      <w:sz w:val="36"/>
    </w:rPr>
  </w:style>
  <w:style w:type="paragraph" w:customStyle="1" w:styleId="FeriaHebdomada">
    <w:name w:val="Feria Hebdomada"/>
    <w:basedOn w:val="Normal"/>
    <w:next w:val="Normal"/>
    <w:pPr>
      <w:keepNext/>
      <w:widowControl w:val="0"/>
      <w:spacing w:before="0" w:after="0" w:line="240" w:lineRule="auto"/>
      <w:ind w:firstLine="0"/>
      <w:jc w:val="center"/>
    </w:pPr>
    <w:rPr>
      <w:rFonts w:ascii="Times New Roman" w:hAnsi="Times New Roman"/>
      <w:shadow/>
      <w:color w:val="FF0000"/>
      <w:sz w:val="36"/>
    </w:rPr>
  </w:style>
  <w:style w:type="paragraph" w:customStyle="1" w:styleId="himno">
    <w:name w:val="himno"/>
    <w:basedOn w:val="Normal"/>
    <w:next w:val="Normal"/>
    <w:pPr>
      <w:spacing w:before="0" w:after="0" w:line="240" w:lineRule="auto"/>
      <w:ind w:firstLine="0"/>
      <w:jc w:val="center"/>
    </w:pPr>
    <w:rPr>
      <w:rFonts w:ascii="Times New Roman" w:hAnsi="Times New Roman"/>
      <w:sz w:val="36"/>
    </w:rPr>
  </w:style>
  <w:style w:type="paragraph" w:customStyle="1" w:styleId="Hymnus">
    <w:name w:val="Hymnus"/>
    <w:basedOn w:val="Normal"/>
    <w:pPr>
      <w:spacing w:before="0" w:after="0" w:line="240" w:lineRule="auto"/>
      <w:ind w:firstLine="0"/>
      <w:jc w:val="center"/>
    </w:pPr>
    <w:rPr>
      <w:rFonts w:ascii="Times New Roman" w:hAnsi="Times New Roman"/>
      <w:color w:val="FF0000"/>
      <w:sz w:val="36"/>
    </w:rPr>
  </w:style>
  <w:style w:type="paragraph" w:customStyle="1" w:styleId="lectura">
    <w:name w:val="lectura"/>
    <w:basedOn w:val="Normal"/>
    <w:pPr>
      <w:spacing w:before="0" w:after="0" w:line="240" w:lineRule="auto"/>
      <w:ind w:firstLine="567"/>
    </w:pPr>
    <w:rPr>
      <w:rFonts w:ascii="Times New Roman" w:hAnsi="Times New Roman"/>
      <w:sz w:val="36"/>
    </w:rPr>
  </w:style>
  <w:style w:type="character" w:styleId="Nmerodelnea">
    <w:name w:val="line number"/>
    <w:rPr>
      <w:rFonts w:ascii="Verdana" w:hAnsi="Verdana"/>
      <w:sz w:val="18"/>
      <w:szCs w:val="18"/>
      <w:u w:val="none"/>
    </w:rPr>
  </w:style>
  <w:style w:type="character" w:styleId="Refdecomentario">
    <w:name w:val="annotation reference"/>
    <w:semiHidden/>
    <w:rPr>
      <w:sz w:val="16"/>
    </w:rPr>
  </w:style>
  <w:style w:type="character" w:styleId="Refdenotaalpie">
    <w:name w:val="footnote reference"/>
    <w:rPr>
      <w:rFonts w:ascii="Verdana" w:hAnsi="Verdana"/>
      <w:spacing w:val="0"/>
      <w:kern w:val="0"/>
      <w:position w:val="0"/>
      <w:sz w:val="24"/>
      <w:szCs w:val="24"/>
      <w:vertAlign w:val="superscript"/>
    </w:rPr>
  </w:style>
  <w:style w:type="character" w:styleId="Refdenotaalfinal">
    <w:name w:val="endnote reference"/>
    <w:semiHidden/>
    <w:rPr>
      <w:rFonts w:ascii="Verdana" w:hAnsi="Verdana"/>
      <w:spacing w:val="0"/>
      <w:kern w:val="0"/>
      <w:position w:val="0"/>
      <w:sz w:val="24"/>
      <w:szCs w:val="24"/>
      <w:vertAlign w:val="superscript"/>
    </w:rPr>
  </w:style>
  <w:style w:type="paragraph" w:customStyle="1" w:styleId="Rbrica">
    <w:name w:val="Rúbrica"/>
    <w:basedOn w:val="Normal"/>
    <w:pPr>
      <w:widowControl w:val="0"/>
      <w:ind w:left="567" w:right="567" w:firstLine="0"/>
    </w:pPr>
    <w:rPr>
      <w:i/>
      <w:color w:val="FF0000"/>
    </w:rPr>
  </w:style>
  <w:style w:type="paragraph" w:styleId="Textonotaalfinal">
    <w:name w:val="endnote text"/>
    <w:basedOn w:val="Textonotapie"/>
    <w:semiHidden/>
  </w:style>
  <w:style w:type="paragraph" w:customStyle="1" w:styleId="parrafosangrado">
    <w:name w:val="parrafo sangrado"/>
    <w:basedOn w:val="Normal"/>
    <w:pPr>
      <w:widowControl w:val="0"/>
      <w:overflowPunct/>
      <w:spacing w:before="20" w:after="60" w:line="240" w:lineRule="atLeast"/>
      <w:ind w:left="284" w:right="284"/>
      <w:textAlignment w:val="auto"/>
    </w:pPr>
    <w:rPr>
      <w:rFonts w:ascii="Times" w:hAnsi="Times" w:cs="Times"/>
      <w:sz w:val="20"/>
    </w:rPr>
  </w:style>
  <w:style w:type="paragraph" w:styleId="Mapadeldocumento">
    <w:name w:val="Document Map"/>
    <w:basedOn w:val="Textosinformato"/>
    <w:next w:val="Textosinformato"/>
    <w:pPr>
      <w:widowControl w:val="0"/>
      <w:shd w:val="clear" w:color="auto" w:fill="000080"/>
    </w:pPr>
    <w:rPr>
      <w:rFonts w:ascii="Tahoma" w:hAnsi="Tahoma" w:cs="Tahoma"/>
      <w:sz w:val="32"/>
      <w:szCs w:val="56"/>
    </w:rPr>
  </w:style>
  <w:style w:type="paragraph" w:customStyle="1" w:styleId="ARTICULO0">
    <w:name w:val="ARTICULO"/>
    <w:basedOn w:val="Normal"/>
    <w:pPr>
      <w:keepNext/>
      <w:spacing w:after="60"/>
      <w:ind w:firstLine="0"/>
      <w:jc w:val="center"/>
    </w:pPr>
    <w:rPr>
      <w:smallCaps/>
    </w:rPr>
  </w:style>
  <w:style w:type="character" w:styleId="Hipervnculo">
    <w:name w:val="Hyperlink"/>
    <w:rPr>
      <w:rFonts w:ascii="Arial" w:hAnsi="Arial"/>
      <w:color w:val="0000FF"/>
      <w:u w:val="none"/>
    </w:rPr>
  </w:style>
  <w:style w:type="paragraph" w:styleId="Textosinformato">
    <w:name w:val="Plain Text"/>
    <w:basedOn w:val="Normal"/>
    <w:rPr>
      <w:rFonts w:ascii="Courier New" w:hAnsi="Courier New" w:cs="Courier New"/>
      <w:sz w:val="20"/>
      <w:szCs w:val="20"/>
    </w:rPr>
  </w:style>
  <w:style w:type="paragraph" w:styleId="Textodeglobo">
    <w:name w:val="Balloon Text"/>
    <w:basedOn w:val="Normal"/>
    <w:semiHidden/>
    <w:rPr>
      <w:rFonts w:ascii="Tahoma" w:hAnsi="Tahoma" w:cs="Tahoma"/>
      <w:sz w:val="16"/>
      <w:szCs w:val="16"/>
    </w:rPr>
  </w:style>
  <w:style w:type="paragraph" w:styleId="ndice1">
    <w:name w:val="index 1"/>
    <w:basedOn w:val="Normal"/>
    <w:next w:val="Normal"/>
    <w:autoRedefine/>
    <w:semiHidden/>
    <w:pPr>
      <w:ind w:left="240" w:hanging="240"/>
    </w:pPr>
  </w:style>
  <w:style w:type="paragraph" w:styleId="Ttulodendice">
    <w:name w:val="index heading"/>
    <w:basedOn w:val="Normal"/>
    <w:next w:val="ndice1"/>
    <w:semiHidden/>
    <w:rPr>
      <w:rFonts w:ascii="Arial" w:hAnsi="Arial" w:cs="Arial"/>
      <w:b/>
      <w:bCs/>
    </w:rPr>
  </w:style>
  <w:style w:type="paragraph" w:styleId="TDC1">
    <w:name w:val="toc 1"/>
    <w:basedOn w:val="Ttulo1"/>
    <w:autoRedefine/>
    <w:semiHidden/>
    <w:rPr>
      <w:color w:val="FF0000"/>
    </w:rPr>
  </w:style>
  <w:style w:type="paragraph" w:styleId="TDC2">
    <w:name w:val="toc 2"/>
    <w:basedOn w:val="Ttulo2"/>
    <w:autoRedefine/>
    <w:semiHidden/>
    <w:pPr>
      <w:tabs>
        <w:tab w:val="right" w:leader="dot" w:pos="9638"/>
      </w:tabs>
      <w:ind w:left="284" w:firstLine="0"/>
    </w:pPr>
  </w:style>
  <w:style w:type="paragraph" w:styleId="TDC3">
    <w:name w:val="toc 3"/>
    <w:basedOn w:val="Ttulo3"/>
    <w:autoRedefine/>
    <w:semiHidden/>
    <w:pPr>
      <w:tabs>
        <w:tab w:val="right" w:leader="dot" w:pos="9638"/>
      </w:tabs>
      <w:ind w:left="566" w:firstLine="0"/>
    </w:pPr>
  </w:style>
  <w:style w:type="paragraph" w:styleId="TDC4">
    <w:name w:val="toc 4"/>
    <w:basedOn w:val="Ttulo4"/>
    <w:autoRedefine/>
    <w:semiHidden/>
    <w:pPr>
      <w:tabs>
        <w:tab w:val="right" w:leader="dot" w:pos="9638"/>
      </w:tabs>
      <w:ind w:left="849" w:firstLine="0"/>
    </w:pPr>
  </w:style>
  <w:style w:type="paragraph" w:styleId="Ttulo">
    <w:name w:val="Title"/>
    <w:basedOn w:val="Normal"/>
    <w:qFormat/>
    <w:pPr>
      <w:spacing w:before="240" w:after="60"/>
      <w:ind w:firstLine="0"/>
      <w:jc w:val="center"/>
      <w:outlineLvl w:val="0"/>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D083-7D46-4E5F-9933-B23246A8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2303</Words>
  <Characters>13318</Characters>
  <Application>Microsoft Office Word</Application>
  <DocSecurity>0</DocSecurity>
  <Lines>403</Lines>
  <Paragraphs>123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Norme circa gli enti e beni ecclesiastici in Italia… D E C R E T O   Il Cardinale Agostino Casaro-li…</vt:lpstr>
      <vt:lpstr>Norme circa gli enti e beni ecclesiastici in Italia… D E C R E T O   Il Cardinale Agostino Casaro-li…</vt:lpstr>
    </vt:vector>
  </TitlesOfParts>
  <Company>Seta</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circa gli enti e beni ecclesiastici in Italia… D E C R E T O   Il Cardinale Agostino Casaro-li…</dc:title>
  <dc:creator>Tomix</dc:creator>
  <cp:lastModifiedBy>JT</cp:lastModifiedBy>
  <cp:revision>6</cp:revision>
  <cp:lastPrinted>2016-03-06T20:04:00Z</cp:lastPrinted>
  <dcterms:created xsi:type="dcterms:W3CDTF">2014-03-16T18:28:00Z</dcterms:created>
  <dcterms:modified xsi:type="dcterms:W3CDTF">2016-03-06T20:11:00Z</dcterms:modified>
</cp:coreProperties>
</file>