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2" w:rsidRPr="00B733E8" w:rsidRDefault="00B733E8">
      <w:pPr>
        <w:rPr>
          <w:rFonts w:cstheme="minorHAnsi"/>
          <w:sz w:val="28"/>
          <w:szCs w:val="28"/>
        </w:rPr>
      </w:pPr>
      <w:r w:rsidRPr="00B733E8">
        <w:rPr>
          <w:rFonts w:cstheme="minorHAnsi"/>
          <w:sz w:val="28"/>
          <w:szCs w:val="28"/>
        </w:rPr>
        <w:t>Slovenia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B0270F" w:rsidRPr="00B733E8" w:rsidTr="0032448D">
        <w:tc>
          <w:tcPr>
            <w:tcW w:w="4503" w:type="dxa"/>
          </w:tcPr>
          <w:p w:rsidR="00B0270F" w:rsidRPr="00B733E8" w:rsidRDefault="00B0270F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B733E8">
              <w:rPr>
                <w:rFonts w:cstheme="minorHAnsi"/>
                <w:sz w:val="28"/>
                <w:szCs w:val="28"/>
                <w:lang w:val="en-US"/>
              </w:rPr>
              <w:t>USTAVA REPUBLIKE SLOVENIJE</w:t>
            </w:r>
          </w:p>
          <w:p w:rsidR="001C058D" w:rsidRPr="00B733E8" w:rsidRDefault="001C058D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val="en-US" w:eastAsia="it-IT"/>
              </w:rPr>
            </w:pPr>
            <w:r w:rsidRPr="00B733E8">
              <w:rPr>
                <w:rFonts w:cstheme="minorHAnsi"/>
                <w:sz w:val="28"/>
                <w:szCs w:val="28"/>
                <w:lang w:val="en-US"/>
              </w:rPr>
              <w:t>(23. december 1991, zadnja sprememba 25. maj 2013)</w:t>
            </w:r>
          </w:p>
        </w:tc>
        <w:tc>
          <w:tcPr>
            <w:tcW w:w="5386" w:type="dxa"/>
          </w:tcPr>
          <w:p w:rsidR="00B0270F" w:rsidRPr="00B733E8" w:rsidRDefault="00B0270F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LA COSTITUZIONE DELLA REPUBBLICA DI SLOVENIA </w:t>
            </w:r>
            <w:r w:rsidR="001C058D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(</w:t>
            </w:r>
            <w:r w:rsidR="00440528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del </w:t>
            </w:r>
            <w:r w:rsidR="001C058D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23 dicembre 1991, ultimo cambiamento </w:t>
            </w:r>
            <w:r w:rsidR="00440528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del </w:t>
            </w:r>
            <w:r w:rsidR="001C058D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25 maggio 2013)</w:t>
            </w:r>
          </w:p>
        </w:tc>
      </w:tr>
      <w:tr w:rsidR="00CC4E49" w:rsidRPr="00B733E8" w:rsidTr="0032448D">
        <w:tc>
          <w:tcPr>
            <w:tcW w:w="4503" w:type="dxa"/>
          </w:tcPr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I. SPLOŠNE DOLOČBE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7. člen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Država in verske skupnosti so ločene. Verske skupnosti so enakopravne; njihovo delovanje je svobodno.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I. DISPOSIZIONI GENERALI</w:t>
            </w:r>
          </w:p>
          <w:p w:rsidR="00CC4E49" w:rsidRPr="00B733E8" w:rsidRDefault="00440528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Art.</w:t>
            </w:r>
            <w:r w:rsidR="00CC4E49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7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Lo Stato e le comunità religiose sono separate.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Le comunità religiose hanno uguali diritti: esse svolgono le proprie attività liberamente.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C4E49" w:rsidRPr="00B733E8" w:rsidTr="0032448D">
        <w:tc>
          <w:tcPr>
            <w:tcW w:w="4503" w:type="dxa"/>
          </w:tcPr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II. ČLOVEKOVE PRAVICE IN TEMELJNE SVOBOŠČINE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14. člen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(enakost pred zakonom)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V Sloveniji so vsako</w:t>
            </w:r>
            <w:bookmarkStart w:id="0" w:name="_GoBack"/>
            <w:bookmarkEnd w:id="0"/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mur zagotovljene enake človekove pravice in temeljne svoboščine, ne glede na narodnost, raso spol, jezik, vero, politično ali drugo prepričanje, gmotno stanje, rojstvo, izobrazbo, družbeni položaj</w:t>
            </w:r>
            <w:r w:rsidR="001C058D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, invalidnost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ali katerokoli drugo osebno okoliščino.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Vsi so pred zakonom enaki.</w:t>
            </w:r>
          </w:p>
        </w:tc>
        <w:tc>
          <w:tcPr>
            <w:tcW w:w="5386" w:type="dxa"/>
          </w:tcPr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II. DIRITTI UMANI E LIBERTA’ FONDAMENTALI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Art</w:t>
            </w:r>
            <w:r w:rsidR="00440528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.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14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(uguaglianza di fronte alla legge)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In Slovenia sono garantiti a ciascuno uguali diritti dell'uomo e libertà fondamentali indipendentemente da nazionalità, razza, sesso, lingua, religione, ideologia politica od altra, situazione patrimoniale, origine, istruzione, posizione sociale</w:t>
            </w:r>
            <w:r w:rsidR="001C058D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, disabilità 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ovvero da altra circostanza personale.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Davanti alla legge sono tutti uguali.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C4E49" w:rsidRPr="00B733E8" w:rsidTr="0032448D">
        <w:tc>
          <w:tcPr>
            <w:tcW w:w="4503" w:type="dxa"/>
          </w:tcPr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16. člen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(začasna razveljavitev in omejitev pravic)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S to ustavo določene človekove pravice in temeljne svoboščine je izjemoma dopustno začasno razveljaviti ali omejiti v vojnem in izrednem stanju. Človekove pravice in temeljne svoboščine se smejo razveljaviti ali omejiti le za čas trajanja vojnega ali izrednega stanja, vendar v obsegu, ki ga tako stanje zahteva, in tako, da sprejeti ukrepi ne 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lastRenderedPageBreak/>
              <w:t xml:space="preserve">povzročajo neenakopravnosti, ki bi temeljila le na rasi, narodni pripadnosti, spolu, jeziku, veri, političnem ali drugem prepričanju, gmotnem stanju, rojstvu, izobrazbi, družbenem položaju ali katerikoli drugi osebni okoliščini.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Določba prejšnjega odstava ne dopušča nobenega začasnega razveljavljanja ali omejevanja pravic, določenih v 17., 18., 21., 27., 28., 29. in 41. členu.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86" w:type="dxa"/>
          </w:tcPr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lastRenderedPageBreak/>
              <w:t>Art</w:t>
            </w:r>
            <w:r w:rsidR="00440528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.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16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(abrogazione temporanea e limitazione dei diritti)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Con la presente Costituzione determinati diritti dell'uomo e libertà fondamentali possono in via eccezionale essere temporaneamente abrogati ovvero limitati in stato di guerra e di emergenza. I diritti dell'uomo e le libertà fondamentali possono essere abrogati o limitati soltanto per il periodo della durata dello stato di guerra o di emergenza, tuttavia nella misura richiesta da tale stato e in maniera che i provvedimenti 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lastRenderedPageBreak/>
              <w:t xml:space="preserve">adottati non causino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ineguaglianze fondate solamente su razza, appartenenza nazionale, sesso, lingua, religione, ideologia politica od altra, situazione patrimoniale, origine, istruzione, posizione sociale ovvero su qualsiasi altra circostanza personale.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La disposizione del precedente capoverso non ammette alcuna abrogazione temporanea o limitazione dei diritti stabiliti negli articoli 17, 18, 21, 27, 28, 29 e 41.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C4E49" w:rsidRPr="00B733E8" w:rsidTr="0032448D">
        <w:tc>
          <w:tcPr>
            <w:tcW w:w="4503" w:type="dxa"/>
          </w:tcPr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lastRenderedPageBreak/>
              <w:t xml:space="preserve">41. člen 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(svoboda vesti)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Izpovedovanje vere in drugih opredelitev v zasebnem in javnem življenju je svobodno.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Nihče se ni dolžan opredeliti glede svojega verskega ali drugega prepričanja. 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Starši imajo pravico, da v skladu s svojim prepričanjem zagotavljajo svojim otrokom versko in moralno vzgojo. Usmerjanje otrok glede verske in moralne vzgoje mora biti v skladu z otrokovo starostjo in zrelostjo ter z njegovo svobodo vesti, verske in druge </w:t>
            </w:r>
          </w:p>
          <w:p w:rsidR="00CC4E49" w:rsidRPr="00B733E8" w:rsidRDefault="00807E7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opredelitve ali prepričanja. </w:t>
            </w:r>
          </w:p>
        </w:tc>
        <w:tc>
          <w:tcPr>
            <w:tcW w:w="5386" w:type="dxa"/>
          </w:tcPr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Art</w:t>
            </w:r>
            <w:r w:rsidR="00440528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.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41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(libertà di coscienza)</w:t>
            </w:r>
          </w:p>
          <w:p w:rsidR="00CC4E49" w:rsidRPr="00B733E8" w:rsidRDefault="00CC4E49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La professione della fede e di altro orientamento è libera nella vita pubblica e privata. </w:t>
            </w:r>
            <w:r w:rsidR="00807E7E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Nessuno è tenuto a pronunciarsi in merito alla propria convinzione religiosa e di altro genere.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I genitori hanno il diritto di assicurare ai propri figli, conformemente alla propria convinzione, l'educazione religiosa e morale. L'indirizzo dei figli riguardo all'educazione religiosa e morale deve essere adeguato all'età e alla maturità del figlio, alla sua libertà di coscienza, al suo orientamento o convinzione religiosa e di altro genere. </w:t>
            </w:r>
          </w:p>
        </w:tc>
      </w:tr>
      <w:tr w:rsidR="00CC4E49" w:rsidRPr="00B733E8" w:rsidTr="0032448D">
        <w:tc>
          <w:tcPr>
            <w:tcW w:w="4503" w:type="dxa"/>
          </w:tcPr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46. člen </w:t>
            </w:r>
          </w:p>
          <w:p w:rsidR="00CC4E49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(pravica do ugovora vesti)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Ugovor vesti je dopusten v primerih, ki jih določi </w:t>
            </w:r>
            <w:r w:rsidR="0032448D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z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akon, če se s tem ne omejujejo pravice in svoboščine drugih oseb.</w:t>
            </w:r>
          </w:p>
        </w:tc>
        <w:tc>
          <w:tcPr>
            <w:tcW w:w="5386" w:type="dxa"/>
          </w:tcPr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Art</w:t>
            </w:r>
            <w:r w:rsidR="00440528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.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46</w:t>
            </w:r>
          </w:p>
          <w:p w:rsidR="00CC4E49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(diritto di obiezione di coscienza)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L'obiezione di coscienza è ammessa nei casi stabiliti dalla legge, qualora con ciò non vengano limitati il diritto e la libertà di altre persone.</w:t>
            </w:r>
          </w:p>
        </w:tc>
      </w:tr>
      <w:tr w:rsidR="00CC4E49" w:rsidRPr="00B733E8" w:rsidTr="0032448D">
        <w:tc>
          <w:tcPr>
            <w:tcW w:w="4503" w:type="dxa"/>
          </w:tcPr>
          <w:p w:rsidR="00CC4E49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63. člen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(prepoved spodbujanja k neenakopravnosti in nestrpnosti ter prepoved spodbujanja k nasilju in vojni)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Protiustavno je vsakršno spodbujanje k narodni, rasni, verski ali drugi neenakopravnosti ter razpihovanje narodnega, rasnega, verskega ali drugega sovraštva in nestrpnosti.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Protiustavno je vsakršno spodbujanje k nasilju in vojni.</w:t>
            </w:r>
          </w:p>
        </w:tc>
        <w:tc>
          <w:tcPr>
            <w:tcW w:w="5386" w:type="dxa"/>
          </w:tcPr>
          <w:p w:rsidR="00CC4E49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Art</w:t>
            </w:r>
            <w:r w:rsidR="00440528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.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63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(divieto di istigazione alla discriminazione e all'intolleranza e divieto di istigazione alla violenza e alla guerra)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E' anticostituzionale qualsiasi istigazione alla discriminazione nazionale, razziale e 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religiosa od altra, nonché la fomentazione di odio e intolleranza nazionale, razziale, 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religiosa od altra.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E' anticostituzionale qualsiasi istigazione 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alla violenza e alla guerra.</w:t>
            </w:r>
          </w:p>
        </w:tc>
      </w:tr>
      <w:tr w:rsidR="00CC4E49" w:rsidRPr="00B733E8" w:rsidTr="0032448D">
        <w:tc>
          <w:tcPr>
            <w:tcW w:w="4503" w:type="dxa"/>
          </w:tcPr>
          <w:p w:rsidR="003206EE" w:rsidRPr="00B733E8" w:rsidRDefault="003206E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cstheme="minorHAnsi"/>
                <w:sz w:val="28"/>
                <w:szCs w:val="28"/>
              </w:rPr>
              <w:t xml:space="preserve">IV. DRŽAVNA UREDITEV </w:t>
            </w:r>
          </w:p>
          <w:p w:rsidR="003206EE" w:rsidRPr="00B733E8" w:rsidRDefault="003206E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cstheme="minorHAnsi"/>
                <w:sz w:val="28"/>
                <w:szCs w:val="28"/>
              </w:rPr>
              <w:t xml:space="preserve">e) Obramba države </w:t>
            </w:r>
          </w:p>
          <w:p w:rsidR="00CC4E49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123. člen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(dolžnost sodelovanja pri obrambi države)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Obramba države je za državljane obvezna v mejah in na način, ki ga določa zakon.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Državljanom, ki zaradi svojih religioznih, filozofskih ali </w:t>
            </w:r>
            <w:r w:rsidR="003206EE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h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umanitarnih nadzorov niso pripravljeni sodelovati pri opravljanju </w:t>
            </w:r>
            <w:r w:rsidR="00B0270F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v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ojaških obveznosti, je treba omogočiti, da sodelujejo pri obrambi države na drug način.</w:t>
            </w:r>
          </w:p>
        </w:tc>
        <w:tc>
          <w:tcPr>
            <w:tcW w:w="5386" w:type="dxa"/>
          </w:tcPr>
          <w:p w:rsidR="003206EE" w:rsidRPr="00B733E8" w:rsidRDefault="003206E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cstheme="minorHAnsi"/>
                <w:sz w:val="28"/>
                <w:szCs w:val="28"/>
              </w:rPr>
              <w:t>IV. ORGANIZZAZIONE DELLO STATO</w:t>
            </w:r>
          </w:p>
          <w:p w:rsidR="003206EE" w:rsidRPr="00B733E8" w:rsidRDefault="003206E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cstheme="minorHAnsi"/>
                <w:sz w:val="28"/>
                <w:szCs w:val="28"/>
              </w:rPr>
              <w:t>e) Difesa dello Stato</w:t>
            </w:r>
          </w:p>
          <w:p w:rsidR="00CC4E49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Art</w:t>
            </w:r>
            <w:r w:rsidR="00440528"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.</w:t>
            </w: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123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(dovere di partecipazione alla difesa dello Stato) 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Per i cittadini la difesa dello Stato è obbligatoria nei limiti e nel modo stabiliti dalla legge.</w:t>
            </w:r>
          </w:p>
          <w:p w:rsidR="00807E7E" w:rsidRPr="00B733E8" w:rsidRDefault="00807E7E" w:rsidP="00B733E8">
            <w:pPr>
              <w:spacing w:line="264" w:lineRule="auto"/>
              <w:jc w:val="both"/>
              <w:rPr>
                <w:rFonts w:cstheme="minorHAnsi"/>
                <w:sz w:val="28"/>
                <w:szCs w:val="28"/>
              </w:rPr>
            </w:pPr>
            <w:r w:rsidRPr="00B733E8">
              <w:rPr>
                <w:rFonts w:eastAsia="Times New Roman" w:cstheme="minorHAnsi"/>
                <w:sz w:val="28"/>
                <w:szCs w:val="28"/>
                <w:lang w:eastAsia="it-IT"/>
              </w:rPr>
              <w:t>Ai cittadini, che per le loro idee religiose, filosofiche o umanitarie non sono disposti a partecipare all'adempimento degli obblighi militari, è necessario rendere possibile la loro partecipazione alla difesa dello Stato in un modo diverso.</w:t>
            </w:r>
          </w:p>
        </w:tc>
      </w:tr>
    </w:tbl>
    <w:p w:rsidR="002829EA" w:rsidRPr="00B0270F" w:rsidRDefault="002829EA" w:rsidP="00B733E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29EA" w:rsidRPr="00B02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EA"/>
    <w:rsid w:val="001C058D"/>
    <w:rsid w:val="002066B7"/>
    <w:rsid w:val="002829EA"/>
    <w:rsid w:val="003206EE"/>
    <w:rsid w:val="0032448D"/>
    <w:rsid w:val="003C7012"/>
    <w:rsid w:val="00440528"/>
    <w:rsid w:val="007629C0"/>
    <w:rsid w:val="00807E7E"/>
    <w:rsid w:val="00B0270F"/>
    <w:rsid w:val="00B733E8"/>
    <w:rsid w:val="00CC4E49"/>
    <w:rsid w:val="00F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29E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C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29E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C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Jose Tomas</cp:lastModifiedBy>
  <cp:revision>3</cp:revision>
  <dcterms:created xsi:type="dcterms:W3CDTF">2013-11-26T22:22:00Z</dcterms:created>
  <dcterms:modified xsi:type="dcterms:W3CDTF">2013-11-30T15:04:00Z</dcterms:modified>
</cp:coreProperties>
</file>